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4F" w:rsidRPr="00C01550" w:rsidRDefault="00335E4F" w:rsidP="00335E4F">
      <w:pPr>
        <w:rPr>
          <w:sz w:val="28"/>
          <w:szCs w:val="28"/>
        </w:rPr>
      </w:pPr>
    </w:p>
    <w:p w:rsidR="002D57E8" w:rsidRDefault="0007390E" w:rsidP="00DA23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Νομοθεσία  Ισολογισμού-Απολογισμού</w:t>
      </w:r>
    </w:p>
    <w:p w:rsidR="00DA2374" w:rsidRDefault="00DA2374" w:rsidP="00335E4F">
      <w:pPr>
        <w:rPr>
          <w:sz w:val="28"/>
          <w:szCs w:val="28"/>
        </w:rPr>
      </w:pPr>
    </w:p>
    <w:p w:rsidR="00D20F04" w:rsidRDefault="00D20F04" w:rsidP="00335E4F">
      <w:pPr>
        <w:rPr>
          <w:sz w:val="28"/>
          <w:szCs w:val="28"/>
        </w:rPr>
      </w:pPr>
    </w:p>
    <w:p w:rsidR="00551784" w:rsidRDefault="002D57E8" w:rsidP="00335E4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551784" w:rsidRDefault="00551784" w:rsidP="00335E4F">
      <w:pPr>
        <w:rPr>
          <w:sz w:val="28"/>
          <w:szCs w:val="28"/>
        </w:rPr>
      </w:pPr>
    </w:p>
    <w:p w:rsidR="00D20F04" w:rsidRPr="00D20F04" w:rsidRDefault="00D20F04" w:rsidP="00D20F04">
      <w:pPr>
        <w:ind w:firstLine="360"/>
        <w:jc w:val="both"/>
        <w:rPr>
          <w:rFonts w:eastAsia="Times New Roman"/>
          <w:b/>
          <w:sz w:val="28"/>
          <w:szCs w:val="28"/>
          <w:u w:val="single"/>
          <w:lang w:eastAsia="el-GR"/>
        </w:rPr>
      </w:pPr>
    </w:p>
    <w:p w:rsidR="00D20F04" w:rsidRPr="00D20F04" w:rsidRDefault="00D20F04" w:rsidP="00D20F04">
      <w:pPr>
        <w:jc w:val="center"/>
        <w:rPr>
          <w:rFonts w:eastAsia="Times New Roman"/>
          <w:b/>
          <w:sz w:val="28"/>
          <w:szCs w:val="28"/>
          <w:u w:val="single"/>
          <w:lang w:eastAsia="el-GR"/>
        </w:rPr>
      </w:pPr>
      <w:r w:rsidRPr="00D20F04">
        <w:rPr>
          <w:rFonts w:eastAsia="Times New Roman"/>
          <w:b/>
          <w:sz w:val="28"/>
          <w:szCs w:val="28"/>
          <w:u w:val="single"/>
          <w:lang w:eastAsia="el-GR"/>
        </w:rPr>
        <w:t>1) Β.Δ. 195/1963 (Εκτελεστικό διάταγμα του Νόμου: 3881/1958)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b/>
          <w:sz w:val="28"/>
          <w:szCs w:val="28"/>
          <w:u w:val="single"/>
          <w:lang w:eastAsia="el-GR"/>
        </w:rPr>
      </w:pP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</w:p>
    <w:p w:rsidR="00D20F04" w:rsidRPr="00D20F04" w:rsidRDefault="00D20F04" w:rsidP="00D20F04">
      <w:pPr>
        <w:ind w:firstLine="360"/>
        <w:jc w:val="center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>Β. ΔΙΑΤΑΓΜΑ ΥΠ’ ΑΡΙΘΜ. 195</w:t>
      </w:r>
    </w:p>
    <w:p w:rsidR="00D20F04" w:rsidRPr="00D20F04" w:rsidRDefault="00D20F04" w:rsidP="00D20F04">
      <w:pPr>
        <w:ind w:firstLine="360"/>
        <w:jc w:val="center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>«Περί τροποποιήσεως και συμπληρώσεως του από 13-9-59</w:t>
      </w:r>
    </w:p>
    <w:p w:rsidR="00D20F04" w:rsidRPr="00D20F04" w:rsidRDefault="00D20F04" w:rsidP="00D20F04">
      <w:pPr>
        <w:ind w:firstLine="360"/>
        <w:jc w:val="center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>Β.Δ. περί Οργανισμών Εγγείων Βελτιώσεων»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>Έχοντες υπόψη: α) Τα άρθρα 10 παρ. 2, 15 παρ. 3, 16 παρ. 5 και 6 και 17 παρ. 5, του Ν.Δ. 3881/58, β) την υπ’ αριθμ. 39/14-12-62 γνωμοδό</w:t>
      </w:r>
      <w:r w:rsidRPr="00D20F04">
        <w:rPr>
          <w:rFonts w:eastAsia="Times New Roman"/>
          <w:sz w:val="28"/>
          <w:szCs w:val="28"/>
          <w:lang w:eastAsia="el-GR"/>
        </w:rPr>
        <w:softHyphen/>
        <w:t>τηση του Κεντρικού Γνωμοδοτικού Συμβουλίου Εγγειοβελτιωτικών Έρ</w:t>
      </w:r>
      <w:r w:rsidRPr="00D20F04">
        <w:rPr>
          <w:rFonts w:eastAsia="Times New Roman"/>
          <w:sz w:val="28"/>
          <w:szCs w:val="28"/>
          <w:lang w:eastAsia="el-GR"/>
        </w:rPr>
        <w:softHyphen/>
        <w:t>γων, γ) την υπ’ αριθμ. 68/1963 γνωμοδότηση του Συμβουλίου Επικρα</w:t>
      </w:r>
      <w:r w:rsidRPr="00D20F04">
        <w:rPr>
          <w:rFonts w:eastAsia="Times New Roman"/>
          <w:sz w:val="28"/>
          <w:szCs w:val="28"/>
          <w:lang w:eastAsia="el-GR"/>
        </w:rPr>
        <w:softHyphen/>
        <w:t xml:space="preserve">τείας, προτάσσει του Ημετέρου επί της Γεωργίας Υπουργού,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απεφασίσα</w:t>
      </w:r>
      <w:r w:rsidRPr="00D20F04">
        <w:rPr>
          <w:rFonts w:eastAsia="Times New Roman"/>
          <w:sz w:val="28"/>
          <w:szCs w:val="28"/>
          <w:lang w:eastAsia="el-GR"/>
        </w:rPr>
        <w:softHyphen/>
        <w:t>μεν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και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διατάσσομεν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>: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</w:p>
    <w:p w:rsidR="00D20F04" w:rsidRPr="00D20F04" w:rsidRDefault="00D20F04" w:rsidP="00D20F04">
      <w:pPr>
        <w:jc w:val="center"/>
        <w:rPr>
          <w:rFonts w:eastAsia="Times New Roman"/>
          <w:sz w:val="28"/>
          <w:szCs w:val="28"/>
          <w:lang w:eastAsia="el-GR"/>
        </w:rPr>
      </w:pPr>
      <w:proofErr w:type="spellStart"/>
      <w:r w:rsidRPr="00D20F04">
        <w:rPr>
          <w:rFonts w:eastAsia="Times New Roman"/>
          <w:sz w:val="28"/>
          <w:szCs w:val="28"/>
          <w:lang w:eastAsia="el-GR"/>
        </w:rPr>
        <w:t>Άρθρον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9.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 xml:space="preserve">Το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άρθρον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34 του αυτού ως άνω Β.Δ. τροποποιείται και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συμπληρού</w:t>
      </w:r>
      <w:r w:rsidRPr="00D20F04">
        <w:rPr>
          <w:rFonts w:eastAsia="Times New Roman"/>
          <w:sz w:val="28"/>
          <w:szCs w:val="28"/>
          <w:lang w:eastAsia="el-GR"/>
        </w:rPr>
        <w:softHyphen/>
        <w:t>ται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ως ακολούθως: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 xml:space="preserve"> «1. Η παράγραφος 1 αντικαθίσταται ως ακολούθως: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D20F04">
        <w:rPr>
          <w:rFonts w:eastAsia="Times New Roman"/>
          <w:sz w:val="28"/>
          <w:szCs w:val="28"/>
          <w:lang w:eastAsia="el-GR"/>
        </w:rPr>
        <w:t xml:space="preserve">«Αι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ετήσιαι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απογραφαί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>, ο λογαριασμός αποτελεσμάτων χρήσεως, ο Ισολογισμός, ο Απολογισμός και ο Προϋπολογισμός, συντάσσονται εις το τέλος της χρήσεως ευθύνη του Διοικητικού Συμβουλίου και υποβάλ</w:t>
      </w:r>
      <w:r w:rsidRPr="00D20F04">
        <w:rPr>
          <w:rFonts w:eastAsia="Times New Roman"/>
          <w:sz w:val="28"/>
          <w:szCs w:val="28"/>
          <w:lang w:eastAsia="el-GR"/>
        </w:rPr>
        <w:softHyphen/>
        <w:t xml:space="preserve">λονται εις την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οικείαν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Περιφερειακήν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Υπηρεσίαν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Ε.Β., δι’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έλεγχον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και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επεξεργασίαν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υπό ταύτης, επιστρέφονται δε εις τον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Οργανισμόν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εντός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εί</w:t>
      </w:r>
      <w:r w:rsidRPr="00D20F04">
        <w:rPr>
          <w:rFonts w:eastAsia="Times New Roman"/>
          <w:sz w:val="28"/>
          <w:szCs w:val="28"/>
          <w:lang w:eastAsia="el-GR"/>
        </w:rPr>
        <w:softHyphen/>
        <w:t>κοσιν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ημερών από της υποβολής με τας τυχόν τροποποιήσεις.  Παρερχομέ</w:t>
      </w:r>
      <w:r w:rsidRPr="00D20F04">
        <w:rPr>
          <w:rFonts w:eastAsia="Times New Roman"/>
          <w:sz w:val="28"/>
          <w:szCs w:val="28"/>
          <w:lang w:eastAsia="el-GR"/>
        </w:rPr>
        <w:softHyphen/>
        <w:t xml:space="preserve">νης απράκτου της ως άνω προθεσμίας, το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Διοικητικόν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Συμ</w:t>
      </w:r>
      <w:r w:rsidRPr="00D20F04">
        <w:rPr>
          <w:rFonts w:eastAsia="Times New Roman"/>
          <w:sz w:val="28"/>
          <w:szCs w:val="28"/>
          <w:lang w:eastAsia="el-GR"/>
        </w:rPr>
        <w:softHyphen/>
        <w:t>βούλιον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χωρεί εις την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σύγκλησιν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της τακτικής Γενικής Συνελεύσεως, της Περιφερεια</w:t>
      </w:r>
      <w:r w:rsidRPr="00D20F04">
        <w:rPr>
          <w:rFonts w:eastAsia="Times New Roman"/>
          <w:sz w:val="28"/>
          <w:szCs w:val="28"/>
          <w:lang w:eastAsia="el-GR"/>
        </w:rPr>
        <w:softHyphen/>
        <w:t>κής Υπηρεσίας θεωρουμένης ότι συναινεί. Αντίγραφα των υπό της Γενι</w:t>
      </w:r>
      <w:r w:rsidRPr="00D20F04">
        <w:rPr>
          <w:rFonts w:eastAsia="Times New Roman"/>
          <w:sz w:val="28"/>
          <w:szCs w:val="28"/>
          <w:lang w:eastAsia="el-GR"/>
        </w:rPr>
        <w:softHyphen/>
        <w:t xml:space="preserve">κής Συνελεύσεως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εγκριθέντων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>, λογαριασμού αποτελεσμά</w:t>
      </w:r>
      <w:r w:rsidRPr="00D20F04">
        <w:rPr>
          <w:rFonts w:eastAsia="Times New Roman"/>
          <w:sz w:val="28"/>
          <w:szCs w:val="28"/>
          <w:lang w:eastAsia="el-GR"/>
        </w:rPr>
        <w:softHyphen/>
        <w:t>των χρήσεως, Απολογισμού, Ισολογισμού και Προϋπολογισμού, υποβάλ</w:t>
      </w:r>
      <w:r w:rsidRPr="00D20F04">
        <w:rPr>
          <w:rFonts w:eastAsia="Times New Roman"/>
          <w:sz w:val="28"/>
          <w:szCs w:val="28"/>
          <w:lang w:eastAsia="el-GR"/>
        </w:rPr>
        <w:softHyphen/>
        <w:t xml:space="preserve">λονται υπό του Τ.Ο.Ε.Β. εις την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αρμοδίαν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Εποπτείαν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Ε.Β., την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Περιφε</w:t>
      </w:r>
      <w:r w:rsidRPr="00D20F04">
        <w:rPr>
          <w:rFonts w:eastAsia="Times New Roman"/>
          <w:sz w:val="28"/>
          <w:szCs w:val="28"/>
          <w:lang w:eastAsia="el-GR"/>
        </w:rPr>
        <w:softHyphen/>
        <w:t>ρειακήν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Διεύθυν</w:t>
      </w:r>
      <w:r w:rsidRPr="00D20F04">
        <w:rPr>
          <w:rFonts w:eastAsia="Times New Roman"/>
          <w:sz w:val="28"/>
          <w:szCs w:val="28"/>
          <w:lang w:eastAsia="el-GR"/>
        </w:rPr>
        <w:softHyphen/>
        <w:t>σιν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Ε.Β. και την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Κεντρικήν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</w:t>
      </w:r>
      <w:proofErr w:type="spellStart"/>
      <w:r w:rsidRPr="00D20F04">
        <w:rPr>
          <w:rFonts w:eastAsia="Times New Roman"/>
          <w:sz w:val="28"/>
          <w:szCs w:val="28"/>
          <w:lang w:eastAsia="el-GR"/>
        </w:rPr>
        <w:t>Υπηρεσίαν</w:t>
      </w:r>
      <w:proofErr w:type="spellEnd"/>
      <w:r w:rsidRPr="00D20F04">
        <w:rPr>
          <w:rFonts w:eastAsia="Times New Roman"/>
          <w:sz w:val="28"/>
          <w:szCs w:val="28"/>
          <w:lang w:eastAsia="el-GR"/>
        </w:rPr>
        <w:t xml:space="preserve"> Υ.Ε.Β. Υπουρ</w:t>
      </w:r>
      <w:r w:rsidRPr="00D20F04">
        <w:rPr>
          <w:rFonts w:eastAsia="Times New Roman"/>
          <w:sz w:val="28"/>
          <w:szCs w:val="28"/>
          <w:lang w:eastAsia="el-GR"/>
        </w:rPr>
        <w:softHyphen/>
        <w:t>γείου Γεωργίας».</w:t>
      </w:r>
    </w:p>
    <w:p w:rsidR="00D20F04" w:rsidRPr="00D20F04" w:rsidRDefault="00D20F04" w:rsidP="00D20F0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</w:p>
    <w:p w:rsidR="00D20F04" w:rsidRDefault="00D20F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32C93" w:rsidRDefault="00132C93" w:rsidP="00132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***********************************************************</w:t>
      </w:r>
    </w:p>
    <w:p w:rsidR="00132C93" w:rsidRDefault="00132C93" w:rsidP="00335E4F">
      <w:pPr>
        <w:rPr>
          <w:b/>
          <w:sz w:val="28"/>
          <w:szCs w:val="28"/>
          <w:u w:val="single"/>
        </w:rPr>
      </w:pPr>
    </w:p>
    <w:p w:rsidR="00335E4F" w:rsidRDefault="00D20F04" w:rsidP="00335E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551784">
        <w:rPr>
          <w:b/>
          <w:sz w:val="28"/>
          <w:szCs w:val="28"/>
          <w:u w:val="single"/>
        </w:rPr>
        <w:t xml:space="preserve">) </w:t>
      </w:r>
      <w:r w:rsidR="00335E4F" w:rsidRPr="00DA2374">
        <w:rPr>
          <w:b/>
          <w:sz w:val="28"/>
          <w:szCs w:val="28"/>
          <w:u w:val="single"/>
        </w:rPr>
        <w:t>Καταστατικό</w:t>
      </w:r>
      <w:r w:rsidR="00DA2374">
        <w:rPr>
          <w:b/>
          <w:sz w:val="28"/>
          <w:szCs w:val="28"/>
          <w:u w:val="single"/>
        </w:rPr>
        <w:t xml:space="preserve"> του ΤΟΕΒ</w:t>
      </w:r>
      <w:r w:rsidR="00551784">
        <w:rPr>
          <w:b/>
          <w:sz w:val="28"/>
          <w:szCs w:val="28"/>
          <w:u w:val="single"/>
        </w:rPr>
        <w:t>:</w:t>
      </w:r>
    </w:p>
    <w:p w:rsidR="00DA2374" w:rsidRDefault="00DA2374" w:rsidP="00335E4F">
      <w:pPr>
        <w:rPr>
          <w:sz w:val="28"/>
          <w:szCs w:val="28"/>
        </w:rPr>
      </w:pPr>
    </w:p>
    <w:p w:rsidR="00DA2374" w:rsidRPr="00C01550" w:rsidRDefault="00DA2374" w:rsidP="00335E4F">
      <w:pPr>
        <w:rPr>
          <w:sz w:val="28"/>
          <w:szCs w:val="28"/>
        </w:rPr>
      </w:pPr>
    </w:p>
    <w:p w:rsidR="00551784" w:rsidRPr="00551784" w:rsidRDefault="00551784" w:rsidP="00551784">
      <w:pPr>
        <w:ind w:firstLine="360"/>
        <w:jc w:val="center"/>
        <w:rPr>
          <w:rFonts w:eastAsia="Times New Roman"/>
          <w:b/>
          <w:sz w:val="10"/>
          <w:szCs w:val="10"/>
          <w:lang w:eastAsia="el-GR"/>
        </w:rPr>
      </w:pPr>
      <w:r w:rsidRPr="00551784">
        <w:rPr>
          <w:rFonts w:eastAsia="Times New Roman"/>
          <w:b/>
          <w:sz w:val="28"/>
          <w:szCs w:val="28"/>
          <w:lang w:eastAsia="el-GR"/>
        </w:rPr>
        <w:t>Άρθρο 16</w:t>
      </w:r>
      <w:r w:rsidRPr="00551784">
        <w:rPr>
          <w:rFonts w:eastAsia="Times New Roman"/>
          <w:b/>
          <w:sz w:val="28"/>
          <w:szCs w:val="28"/>
          <w:lang w:eastAsia="el-GR"/>
        </w:rPr>
        <w:br/>
        <w:t>Δικαιοδοσία Γενικής Συνελεύσεως</w:t>
      </w:r>
      <w:r w:rsidRPr="00551784">
        <w:rPr>
          <w:rFonts w:eastAsia="Times New Roman"/>
          <w:b/>
          <w:sz w:val="28"/>
          <w:szCs w:val="28"/>
          <w:lang w:eastAsia="el-GR"/>
        </w:rPr>
        <w:br/>
      </w:r>
    </w:p>
    <w:p w:rsidR="00551784" w:rsidRPr="00551784" w:rsidRDefault="00551784" w:rsidP="00551784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Η Γενική Συνέλευση έχει την ανώτερη εποπτεία, εκτός από τις περι</w:t>
      </w:r>
      <w:r w:rsidRPr="00551784">
        <w:rPr>
          <w:rFonts w:eastAsia="Times New Roman"/>
          <w:sz w:val="28"/>
          <w:szCs w:val="28"/>
          <w:lang w:eastAsia="el-GR"/>
        </w:rPr>
        <w:softHyphen/>
        <w:t>πτώσεις κατά τις οποίες τα δικαιώματά της αυτά περιορίζονται από το Νόμο.</w:t>
      </w:r>
    </w:p>
    <w:p w:rsidR="00551784" w:rsidRPr="00551784" w:rsidRDefault="00551784" w:rsidP="00551784">
      <w:pPr>
        <w:ind w:firstLine="284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Η Γενική Συνέλευση έχει την εξής δικαιοδοσία:</w:t>
      </w:r>
    </w:p>
    <w:p w:rsidR="00335E4F" w:rsidRDefault="00551784" w:rsidP="00551784">
      <w:pPr>
        <w:ind w:firstLine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335E4F" w:rsidRDefault="00335E4F" w:rsidP="00551784">
      <w:pPr>
        <w:ind w:firstLine="284"/>
        <w:jc w:val="both"/>
        <w:rPr>
          <w:sz w:val="28"/>
          <w:szCs w:val="28"/>
        </w:rPr>
      </w:pPr>
      <w:r w:rsidRPr="00C01550">
        <w:rPr>
          <w:sz w:val="28"/>
          <w:szCs w:val="28"/>
        </w:rPr>
        <w:t>η.- Αποφασ</w:t>
      </w:r>
      <w:r>
        <w:rPr>
          <w:sz w:val="28"/>
          <w:szCs w:val="28"/>
        </w:rPr>
        <w:t>ίζ</w:t>
      </w:r>
      <w:r w:rsidRPr="00C01550">
        <w:rPr>
          <w:sz w:val="28"/>
          <w:szCs w:val="28"/>
        </w:rPr>
        <w:t>ει</w:t>
      </w:r>
      <w:r>
        <w:rPr>
          <w:sz w:val="28"/>
          <w:szCs w:val="28"/>
        </w:rPr>
        <w:t xml:space="preserve"> για την έγκριση του ισολογισμού του περασμένου χρόνου και του προϋπολογισμού του νέου χρόνου, για τη χρησιμοποίηση του περισσεύματος ή την κάλυψη του ελλείμματος, για τον καθορισμό συμπληρωματικών εισφορών για τις εργασίες του Οργανισμού, για την απαλλαγή του Διοικητικού Συμβουλίου και του Ταμία από τις ευθύνες για τις εργασίες αυτών.</w:t>
      </w:r>
    </w:p>
    <w:p w:rsidR="00335E4F" w:rsidRPr="00C01550" w:rsidRDefault="00335E4F" w:rsidP="00335E4F">
      <w:pPr>
        <w:jc w:val="both"/>
        <w:rPr>
          <w:sz w:val="28"/>
          <w:szCs w:val="28"/>
        </w:rPr>
      </w:pPr>
    </w:p>
    <w:p w:rsidR="00551784" w:rsidRPr="00551784" w:rsidRDefault="00551784" w:rsidP="00551784">
      <w:pPr>
        <w:jc w:val="center"/>
        <w:rPr>
          <w:rFonts w:eastAsia="Times New Roman"/>
          <w:b/>
          <w:sz w:val="28"/>
          <w:szCs w:val="28"/>
          <w:lang w:eastAsia="el-GR"/>
        </w:rPr>
      </w:pPr>
      <w:r w:rsidRPr="00551784">
        <w:rPr>
          <w:rFonts w:eastAsia="Times New Roman"/>
          <w:b/>
          <w:sz w:val="28"/>
          <w:szCs w:val="28"/>
          <w:lang w:eastAsia="el-GR"/>
        </w:rPr>
        <w:t>Άρθρο 40</w:t>
      </w:r>
    </w:p>
    <w:p w:rsidR="00551784" w:rsidRPr="00551784" w:rsidRDefault="00551784" w:rsidP="00551784">
      <w:pPr>
        <w:jc w:val="center"/>
        <w:rPr>
          <w:rFonts w:eastAsia="Times New Roman"/>
          <w:b/>
          <w:sz w:val="28"/>
          <w:szCs w:val="28"/>
          <w:lang w:eastAsia="el-GR"/>
        </w:rPr>
      </w:pPr>
      <w:r w:rsidRPr="00551784">
        <w:rPr>
          <w:rFonts w:eastAsia="Times New Roman"/>
          <w:b/>
          <w:sz w:val="28"/>
          <w:szCs w:val="28"/>
          <w:lang w:eastAsia="el-GR"/>
        </w:rPr>
        <w:t>Απογραφή - Ισολογισμός - Προϋπολογισμός</w:t>
      </w:r>
    </w:p>
    <w:p w:rsidR="00551784" w:rsidRPr="00551784" w:rsidRDefault="00551784" w:rsidP="00551784">
      <w:pPr>
        <w:ind w:firstLine="360"/>
        <w:jc w:val="center"/>
        <w:rPr>
          <w:rFonts w:eastAsia="Times New Roman"/>
          <w:sz w:val="10"/>
          <w:szCs w:val="10"/>
          <w:lang w:eastAsia="el-GR"/>
        </w:rPr>
      </w:pP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Οι ετήσιες απογραφές, ο λογαριασμός αποτελεσμάτων χρήσεως, ο Ι</w:t>
      </w:r>
      <w:r w:rsidRPr="00551784">
        <w:rPr>
          <w:rFonts w:eastAsia="Times New Roman"/>
          <w:sz w:val="28"/>
          <w:szCs w:val="28"/>
          <w:lang w:eastAsia="el-GR"/>
        </w:rPr>
        <w:softHyphen/>
        <w:t>σολογισμός, ο Απολογισμός και ο Προϋπολογισμός, συντάσσονται στο τέλος της χρήσεως με ευθύνη του Διοικητικού Συμβουλίου και υποβάλ</w:t>
      </w:r>
      <w:r w:rsidRPr="00551784">
        <w:rPr>
          <w:rFonts w:eastAsia="Times New Roman"/>
          <w:sz w:val="28"/>
          <w:szCs w:val="28"/>
          <w:lang w:eastAsia="el-GR"/>
        </w:rPr>
        <w:softHyphen/>
        <w:t>λονται στην οικεία υπηρεσία Ε.Β., για έλεγχο και επεξεργασία από αυτή, επιστρέφονται δε στον Οργανισμό μέσα σε είκοσι ημέρες από την ημε</w:t>
      </w:r>
      <w:r w:rsidRPr="00551784">
        <w:rPr>
          <w:rFonts w:eastAsia="Times New Roman"/>
          <w:sz w:val="28"/>
          <w:szCs w:val="28"/>
          <w:lang w:eastAsia="el-GR"/>
        </w:rPr>
        <w:softHyphen/>
        <w:t xml:space="preserve">ρομηνία της υποβολής τους με τις τυχόν τροποποιήσεις. Σε περίπτωση που παρέλθει άπρακτη η ως άνω ημερομηνία, το Διοικητικό Συμβούλιο προχωρεί στη σύγκληση της τακτικής Γενικής Συνελεύσεως, γιατί θεωρεί ότι η αρμόδια υπηρεσία Ε.Β. συμφωνεί. Αντίγραφα των </w:t>
      </w:r>
      <w:proofErr w:type="spellStart"/>
      <w:r w:rsidRPr="00551784">
        <w:rPr>
          <w:rFonts w:eastAsia="Times New Roman"/>
          <w:sz w:val="28"/>
          <w:szCs w:val="28"/>
          <w:lang w:eastAsia="el-GR"/>
        </w:rPr>
        <w:t>εγκριθέντων</w:t>
      </w:r>
      <w:proofErr w:type="spellEnd"/>
      <w:r w:rsidRPr="00551784">
        <w:rPr>
          <w:rFonts w:eastAsia="Times New Roman"/>
          <w:sz w:val="28"/>
          <w:szCs w:val="28"/>
          <w:lang w:eastAsia="el-GR"/>
        </w:rPr>
        <w:t xml:space="preserve"> από την Γενική Συνέλευση, λογαριασμού αποτελεσμάτων χρήσεων, απολογι</w:t>
      </w:r>
      <w:r w:rsidRPr="00551784">
        <w:rPr>
          <w:rFonts w:eastAsia="Times New Roman"/>
          <w:sz w:val="28"/>
          <w:szCs w:val="28"/>
          <w:lang w:eastAsia="el-GR"/>
        </w:rPr>
        <w:softHyphen/>
        <w:t>σμού, ισολογισμού και προϋπολογισμού, υποβάλλονται από τον Τ.Ο.Ε.Β. στην αρμόδια εποπτεία Ε.Β. στην Περιφερειακή Διεύθυνση Ε.Β. και στην Κεντρική Υπηρεσία Ε.Β. του υ</w:t>
      </w:r>
      <w:r w:rsidRPr="00551784">
        <w:rPr>
          <w:rFonts w:eastAsia="Times New Roman"/>
          <w:sz w:val="28"/>
          <w:szCs w:val="28"/>
          <w:lang w:eastAsia="el-GR"/>
        </w:rPr>
        <w:softHyphen/>
        <w:t>πουργείου Γεωργίας.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Κατά το πρώτο έτος της διαχειρίσεως και εφόσον η διαχείριση δεν υπερ</w:t>
      </w:r>
      <w:r w:rsidRPr="00551784">
        <w:rPr>
          <w:rFonts w:eastAsia="Times New Roman"/>
          <w:sz w:val="28"/>
          <w:szCs w:val="28"/>
          <w:lang w:eastAsia="el-GR"/>
        </w:rPr>
        <w:softHyphen/>
        <w:t>βαίνει τους έξι (6) μήνες, ο πρώτος ισολογισμός συντάσσεται με τη λήξη του επόμενου έτους.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Ο ισολογισμός κατατίθεται επτά (7) το λιγότερο ημέρες, πριν τη σύ</w:t>
      </w:r>
      <w:r w:rsidRPr="00551784">
        <w:rPr>
          <w:rFonts w:eastAsia="Times New Roman"/>
          <w:sz w:val="28"/>
          <w:szCs w:val="28"/>
          <w:lang w:eastAsia="el-GR"/>
        </w:rPr>
        <w:softHyphen/>
        <w:t>γκλιση της συνελεύσεως στο γραφείο του Οργανισμού, κάθε δε μέλος έ</w:t>
      </w:r>
      <w:r w:rsidRPr="00551784">
        <w:rPr>
          <w:rFonts w:eastAsia="Times New Roman"/>
          <w:sz w:val="28"/>
          <w:szCs w:val="28"/>
          <w:lang w:eastAsia="el-GR"/>
        </w:rPr>
        <w:softHyphen/>
        <w:t>χει το δικαίωμα να λαμβάνει γνώση αυτού.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Ο λογαριασμός αποτελεσμάτων χρήσεως πρέπει να περιέχει όλα τα έσοδα και έξοδα που έχουν γίνει κατά το διάστημα του χρόνου κατά τις διάφορες στη λογιστική υποδιαιρέσεις.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Στον ισολογισμό πρέπει να περιέχονται σε περίληψη: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lastRenderedPageBreak/>
        <w:t xml:space="preserve">1.- Το ενεργητικό, ήτοι: 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α.- Τα μετρητά που υπάρχουν μέσα στο Ταμείο.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β.- Οι, στο όνομα και υπέρ του οργανισμού καταθέσεις.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γ.- Η αξία των υλικών, εργαλείων κινητών μηχανών, επίπλων και σκευών και άλλων, που χρησιμοποιούνται για την εκτέλεση των έργων, ειδών με ανάλογες αποσβέσεις, σύμφωνα με οδηγίες της ΥΕΒ.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δ.- Η αξία των ακινήτων, γηπέδων και οικοδομών, μετά απόσβεση επί των τελευταίων τουλάχιστον 5 τοις εκατό κάθε χρόνο.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ε.- Οι κατά των χρεωστών απαιτήσεις.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στ.- Αυτά που οφείλουν τα μέλη και που προέρχονται από τέλη και κάθε φύσεως εισφορές.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ζ.- Τα ποσά που δαπανήθηκαν αποκλειστικά και μόνο για κατασκευές κατά το χρόνο της χρήσεως μετά από ανάλογη απόσβεση το λιγότερο 5 τοις εκατό κάθε χρόνο.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η.- Οι υπέρ του Οργανισμού τόκοι που έχουν υπολογισθεί.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θ.- Κάθε άλλο στοιχείο του ενεργητικού.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 xml:space="preserve">2.- Το παθητικό, ήτοι: 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α.- Οι τακτικές και έκτακτες εισφορές.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β.- Το αποθεματικό κεφάλαιο.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γ.- Τα διάφορα είδη δανείων που έχουν ληφθεί από τον Οργανισμό.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δ.- Τα χρέη στους πιστωτές.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ε.- Οι τόκοι που έχουν υπολογισθεί σε βάρος του Οργανισμού.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στ.- Κάθε άλλο στοιχείο του παθητικού.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Η διαφορά μεταξύ των σκελών του ενεργητικού και του παθητικού αποτελεί το θετικό ή το αρνητικό αποτέλεσμα της χρήσεως.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Κάθε δαπάνη που υπερβαίνει τον προϋπολογισμό που έχει εγκριθεί, χωρίς την έγκριση της ΥΕΒ βαρύνει τον Πρόεδρο και τον Ταμία του Ορ</w:t>
      </w:r>
      <w:r w:rsidRPr="00551784">
        <w:rPr>
          <w:rFonts w:eastAsia="Times New Roman"/>
          <w:sz w:val="28"/>
          <w:szCs w:val="28"/>
          <w:lang w:eastAsia="el-GR"/>
        </w:rPr>
        <w:softHyphen/>
        <w:t>γανισμού, καταλογίζεται δε από την αρμόδια υπηρεσία Ε.Β. ή την Γ.Δ.Ε.Β. του υπουργείου Γεωργίας και δια</w:t>
      </w:r>
      <w:r w:rsidRPr="00551784">
        <w:rPr>
          <w:rFonts w:eastAsia="Times New Roman"/>
          <w:sz w:val="28"/>
          <w:szCs w:val="28"/>
          <w:lang w:eastAsia="el-GR"/>
        </w:rPr>
        <w:softHyphen/>
        <w:t>τάσσεται η είσπραξη για λογα</w:t>
      </w:r>
      <w:r w:rsidRPr="00551784">
        <w:rPr>
          <w:rFonts w:eastAsia="Times New Roman"/>
          <w:sz w:val="28"/>
          <w:szCs w:val="28"/>
          <w:lang w:eastAsia="el-GR"/>
        </w:rPr>
        <w:softHyphen/>
        <w:t>ριασμό του Οργανισμού.</w:t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Ο προϋπολογισμός δύναται να τροποποιείται με απόφαση της Γενικής Συνελεύσεως, αφού εγκριθεί από την αρμόδια υπηρεσία Ε.Β.</w:t>
      </w:r>
    </w:p>
    <w:p w:rsidR="00551784" w:rsidRPr="00551784" w:rsidRDefault="00551784" w:rsidP="00551784">
      <w:pPr>
        <w:ind w:firstLine="360"/>
        <w:jc w:val="center"/>
        <w:rPr>
          <w:rFonts w:eastAsia="Times New Roman"/>
          <w:b/>
          <w:sz w:val="10"/>
          <w:szCs w:val="10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br/>
      </w:r>
      <w:r w:rsidRPr="00551784">
        <w:rPr>
          <w:rFonts w:eastAsia="Times New Roman"/>
          <w:b/>
          <w:sz w:val="28"/>
          <w:szCs w:val="28"/>
          <w:lang w:eastAsia="el-GR"/>
        </w:rPr>
        <w:t>Άρθρο 41</w:t>
      </w:r>
      <w:r w:rsidRPr="00551784">
        <w:rPr>
          <w:rFonts w:eastAsia="Times New Roman"/>
          <w:b/>
          <w:sz w:val="28"/>
          <w:szCs w:val="28"/>
          <w:lang w:eastAsia="el-GR"/>
        </w:rPr>
        <w:br/>
        <w:t>Διάθεση θετικού αποτελέσματος χρήσεως</w:t>
      </w:r>
      <w:r w:rsidRPr="00551784">
        <w:rPr>
          <w:rFonts w:eastAsia="Times New Roman"/>
          <w:b/>
          <w:sz w:val="28"/>
          <w:szCs w:val="28"/>
          <w:lang w:eastAsia="el-GR"/>
        </w:rPr>
        <w:br/>
      </w:r>
    </w:p>
    <w:p w:rsidR="00551784" w:rsidRP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Το κάθε χρόνο θετικό αποτέλεσμα χρήσεως του Οργανισμού, μεταφέ</w:t>
      </w:r>
      <w:r w:rsidRPr="00551784">
        <w:rPr>
          <w:rFonts w:eastAsia="Times New Roman"/>
          <w:sz w:val="28"/>
          <w:szCs w:val="28"/>
          <w:lang w:eastAsia="el-GR"/>
        </w:rPr>
        <w:softHyphen/>
        <w:t>ρεται στο λογαριασμό Κεφάλαιο.</w:t>
      </w:r>
    </w:p>
    <w:p w:rsidR="00551784" w:rsidRPr="00551784" w:rsidRDefault="00551784" w:rsidP="00551784">
      <w:pPr>
        <w:ind w:firstLine="360"/>
        <w:jc w:val="center"/>
        <w:rPr>
          <w:rFonts w:eastAsia="Times New Roman"/>
          <w:b/>
          <w:sz w:val="10"/>
          <w:szCs w:val="10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br/>
      </w:r>
      <w:r w:rsidRPr="00551784">
        <w:rPr>
          <w:rFonts w:eastAsia="Times New Roman"/>
          <w:b/>
          <w:sz w:val="28"/>
          <w:szCs w:val="28"/>
          <w:lang w:eastAsia="el-GR"/>
        </w:rPr>
        <w:t>Άρθρο 42</w:t>
      </w:r>
      <w:r w:rsidRPr="00551784">
        <w:rPr>
          <w:rFonts w:eastAsia="Times New Roman"/>
          <w:b/>
          <w:sz w:val="28"/>
          <w:szCs w:val="28"/>
          <w:lang w:eastAsia="el-GR"/>
        </w:rPr>
        <w:br/>
        <w:t>Κατανομή αρνητικού αποτελέσματος χρήσεως</w:t>
      </w:r>
      <w:r w:rsidRPr="00551784">
        <w:rPr>
          <w:rFonts w:eastAsia="Times New Roman"/>
          <w:b/>
          <w:sz w:val="28"/>
          <w:szCs w:val="28"/>
          <w:lang w:eastAsia="el-GR"/>
        </w:rPr>
        <w:br/>
      </w:r>
    </w:p>
    <w:p w:rsidR="00551784" w:rsidRDefault="00551784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r w:rsidRPr="00551784">
        <w:rPr>
          <w:rFonts w:eastAsia="Times New Roman"/>
          <w:sz w:val="28"/>
          <w:szCs w:val="28"/>
          <w:lang w:eastAsia="el-GR"/>
        </w:rPr>
        <w:t>Σε περίπτωση που σε οποιοδήποτε χρόνο προκύψει αρνητικό αποτέ</w:t>
      </w:r>
      <w:r w:rsidRPr="00551784">
        <w:rPr>
          <w:rFonts w:eastAsia="Times New Roman"/>
          <w:sz w:val="28"/>
          <w:szCs w:val="28"/>
          <w:lang w:eastAsia="el-GR"/>
        </w:rPr>
        <w:softHyphen/>
        <w:t>λεσμα, αυτό καλύπτεται εξ ολοκλήρου με εισφορές, που επιβάλλονται κατά την επόμενη χρήση.</w:t>
      </w:r>
    </w:p>
    <w:p w:rsidR="009217BF" w:rsidRDefault="009217BF" w:rsidP="00551784">
      <w:pPr>
        <w:ind w:firstLine="360"/>
        <w:jc w:val="both"/>
        <w:rPr>
          <w:rFonts w:eastAsia="Times New Roman"/>
          <w:sz w:val="28"/>
          <w:szCs w:val="28"/>
          <w:lang w:eastAsia="el-GR"/>
        </w:rPr>
      </w:pPr>
      <w:bookmarkStart w:id="0" w:name="_GoBack"/>
      <w:bookmarkEnd w:id="0"/>
    </w:p>
    <w:sectPr w:rsidR="009217BF" w:rsidSect="001E6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82" w:rsidRDefault="00032682">
      <w:r>
        <w:separator/>
      </w:r>
    </w:p>
  </w:endnote>
  <w:endnote w:type="continuationSeparator" w:id="0">
    <w:p w:rsidR="00032682" w:rsidRDefault="0003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8" w:rsidRDefault="009217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8" w:rsidRDefault="009217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8" w:rsidRDefault="009217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82" w:rsidRDefault="00032682">
      <w:r>
        <w:separator/>
      </w:r>
    </w:p>
  </w:footnote>
  <w:footnote w:type="continuationSeparator" w:id="0">
    <w:p w:rsidR="00032682" w:rsidRDefault="0003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8" w:rsidRDefault="00921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78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3A98" w:rsidRDefault="00335E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A98" w:rsidRDefault="009217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98" w:rsidRDefault="00921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A"/>
    <w:rsid w:val="00032682"/>
    <w:rsid w:val="0007390E"/>
    <w:rsid w:val="00132C93"/>
    <w:rsid w:val="00146EFA"/>
    <w:rsid w:val="00213882"/>
    <w:rsid w:val="002337A0"/>
    <w:rsid w:val="002D57E8"/>
    <w:rsid w:val="00335E4F"/>
    <w:rsid w:val="00551784"/>
    <w:rsid w:val="008D3CF2"/>
    <w:rsid w:val="009217BF"/>
    <w:rsid w:val="00A04751"/>
    <w:rsid w:val="00A22194"/>
    <w:rsid w:val="00A4129F"/>
    <w:rsid w:val="00D20F04"/>
    <w:rsid w:val="00D61071"/>
    <w:rsid w:val="00DA2374"/>
    <w:rsid w:val="00EB35CE"/>
    <w:rsid w:val="00E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75B18-6A37-4E44-A485-72152CC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E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35E4F"/>
    <w:rPr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335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5E4F"/>
    <w:rPr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5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14</cp:revision>
  <cp:lastPrinted>2012-03-27T05:27:00Z</cp:lastPrinted>
  <dcterms:created xsi:type="dcterms:W3CDTF">2012-03-26T05:34:00Z</dcterms:created>
  <dcterms:modified xsi:type="dcterms:W3CDTF">2016-04-12T07:47:00Z</dcterms:modified>
</cp:coreProperties>
</file>