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94" w:rsidRDefault="008B7994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FE0C2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4D38">
        <w:rPr>
          <w:rFonts w:ascii="Times New Roman" w:hAnsi="Times New Roman"/>
          <w:b/>
          <w:sz w:val="28"/>
          <w:szCs w:val="28"/>
          <w:u w:val="single"/>
        </w:rPr>
        <w:t>Αρμοδιότητες που έχουν οι Περιφέρειες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στους ΤΟΕΒ</w:t>
      </w: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Pr="00FE0C26" w:rsidRDefault="00FE0C26" w:rsidP="00FE0C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26">
        <w:rPr>
          <w:rFonts w:ascii="Times New Roman" w:eastAsia="Calibri" w:hAnsi="Times New Roman" w:cs="Times New Roman"/>
          <w:sz w:val="28"/>
          <w:szCs w:val="28"/>
        </w:rPr>
        <w:t xml:space="preserve">Στην Εγκύκλιο του Υπουργείου Αγροτικής Ανάπτυξης &amp; Τροφίμων, με αριθμ. πρωτ.: 1552/134721/05-10-2018 «Διευκρινήσεις  για  την  εφαρμογή  του  άρθρου  46  του  ν. 4456/2017,  του  άρθρου  66  του ν. 4546/2018  και  της  απόφασης  αριθ. 3252/99092/2017,  περί  θεμάτων  Έργων  και Οργανισμών Εγγείων Βελτιώσεων» ΑΔΑ: ΩΧΨΟ4653ΠΓ-222, (σελ.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E0C2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E0C26">
        <w:rPr>
          <w:rFonts w:ascii="Times New Roman" w:eastAsia="Calibri" w:hAnsi="Times New Roman" w:cs="Times New Roman"/>
          <w:sz w:val="28"/>
          <w:szCs w:val="28"/>
        </w:rPr>
        <w:t>), αναφέρονται τα εξής:</w:t>
      </w:r>
    </w:p>
    <w:p w:rsidR="00FE0C26" w:rsidRPr="00FE0C26" w:rsidRDefault="00FE0C26" w:rsidP="00FE0C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4BE1" w:rsidRPr="00494D38" w:rsidRDefault="00A24BE1" w:rsidP="00A24BE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4D38">
        <w:rPr>
          <w:rFonts w:ascii="Times New Roman" w:hAnsi="Times New Roman"/>
          <w:b/>
          <w:sz w:val="28"/>
          <w:szCs w:val="28"/>
          <w:u w:val="single"/>
        </w:rPr>
        <w:t>Αρμοδιότ</w:t>
      </w:r>
      <w:r w:rsidR="00494D38" w:rsidRPr="00494D38">
        <w:rPr>
          <w:rFonts w:ascii="Times New Roman" w:hAnsi="Times New Roman"/>
          <w:b/>
          <w:sz w:val="28"/>
          <w:szCs w:val="28"/>
          <w:u w:val="single"/>
        </w:rPr>
        <w:t>ητες που έχουν οι Περιφέρειες, ό</w:t>
      </w:r>
      <w:r w:rsidRPr="00494D38">
        <w:rPr>
          <w:rFonts w:ascii="Times New Roman" w:hAnsi="Times New Roman"/>
          <w:b/>
          <w:sz w:val="28"/>
          <w:szCs w:val="28"/>
          <w:u w:val="single"/>
        </w:rPr>
        <w:t>πως εξειδικεύονται με το Άρθρο 1 της ΚΥΑ 3252/99092/2017: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Pr="00A24BE1" w:rsidRDefault="00494D3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2974" w:rsidRPr="00FF2974" w:rsidRDefault="00A24BE1" w:rsidP="00FF29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974">
        <w:rPr>
          <w:rFonts w:ascii="Times New Roman" w:hAnsi="Times New Roman"/>
          <w:b/>
          <w:sz w:val="28"/>
          <w:szCs w:val="28"/>
        </w:rPr>
        <w:t>Άρθρο 1</w:t>
      </w:r>
    </w:p>
    <w:p w:rsidR="00FF2974" w:rsidRDefault="00FF297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297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Με το άρθρο 1 εξειδικεύονται οι αρμοδιότητες αναφορικά με τα Έργα και τους Οργανισμούς Εγγείων Βελτιώσεων (ΟΕΒ) που αναλαμβάνουν οι Περιφέρειες σύμφωνα με το άρθρο 46 του ν. 4456/2017. Διευκρινίζεται ότι στην εν λόγω ΚΥΑ δεν θεσπίζονται νέες αρμοδιότητες, αλλά περι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γράφονται οι αρμοδιότητες που ήδη υφίστανται στην νομοθεσία περί έρ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γων και οργανισμών εγγείων βελτιώσεων και ασκούν πλέον οι Περιφέ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ρειες. Οι εν λόγω αρμοδιότητες ασκούνται σύμφωνα με την ισχύουσα νομοθεσία περί εγγειοβελτιωτικών έργων και ΟΕΒ, ιδίως τις διατάξεις του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3881/1958 (Α΄181) και τις κατ’ εξουσιοδότησή του εκδοθείσες κανονιστικές πράξεις, του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1277/1972 (Α΄213), του ν. 497/1974 (Α΄203), του ν. 414/1976 (Α΄212) και τις κατ’ εξουσιοδότησή του εκδο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θείσες κανονιστικές πράξεις, του ν. 3704/1957 (Α΄98) και τις κατ’ εξου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σιοδότησή του εκδοθείσες κανονιστικές πράξεις, όπως ισχύουν. Αναλυ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τικά, οι εν λόγω αρμοδιότητες, σε συνδυασμό με τις σχετικές διατάξεις στις οποίες αναφέρονται, καθώς και τυχόν διευκρινίσεις κατά περίπτωση, παρατίθενται στη συνέχεια: </w:t>
      </w:r>
    </w:p>
    <w:p w:rsidR="00FF2974" w:rsidRDefault="00FF297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297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α) Η μεταβίβαση στους ΟΕΒ των αρμοδιοτήτων διοίκησης, λειτουρ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γίας και συντήρησης των εγγειοβελτιωτικών έργων. </w:t>
      </w:r>
    </w:p>
    <w:p w:rsidR="00FF297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6, ΥΑ 17443/1975] </w:t>
      </w:r>
    </w:p>
    <w:p w:rsidR="00FF2974" w:rsidRDefault="00FF297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β) Ο χαρακτηρισμός (ταξινόμηση</w:t>
      </w:r>
      <w:r w:rsidR="00494D38">
        <w:rPr>
          <w:rFonts w:ascii="Times New Roman" w:hAnsi="Times New Roman"/>
          <w:sz w:val="28"/>
          <w:szCs w:val="28"/>
        </w:rPr>
        <w:t xml:space="preserve">) των εγγειοβελτιωτικών έργων. </w:t>
      </w: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lastRenderedPageBreak/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5] </w:t>
      </w: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Ο χαρακτηρισμός των έργων, που αφορά σε νέα έργα που θα λειτουρ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γήσουν οι υπό σύσταση ΟΕΒ ή θα μεταβιβαστούν στους ήδη υπάρχοντες, θα γίνεται σύμφωνα με τα οριζόμενα στο άρθρο 5 του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3881/1958.</w:t>
      </w:r>
    </w:p>
    <w:p w:rsidR="00494D38" w:rsidRDefault="00494D3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γ) Η μεταβίβαση στους ΟΕΒ της αρμοδιότητας διοίκησης έργων αξιο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ποίησης εδάφους της περιοχής των εγγειοβελτιωτικών έργων. </w:t>
      </w: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14, παρ. 3] </w:t>
      </w:r>
    </w:p>
    <w:p w:rsidR="00494D38" w:rsidRDefault="00494D3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δ) Η δυνατότητα άσκησης αρμοδιοτήτων διοίκησης, λειτουργίας και συντήρησης εγγειοβελτιωτικών έργων, εξ’ ολοκλήρου ή εν μέρει, κατ’ εξαίρεση και μέχρι την ολοκλήρωση των έργων, σε περίπτωση αδυναμίας των ΟΕΒ.</w:t>
      </w: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12, παρ. 3] </w:t>
      </w:r>
    </w:p>
    <w:p w:rsidR="00494D38" w:rsidRDefault="00494D3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ε) Ο καθορισμός της περιόδου ανάπτυξης των εγγειοβελτιωτικών έρ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γων. </w:t>
      </w: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11, ΥΑ 17443/1975] </w:t>
      </w:r>
    </w:p>
    <w:p w:rsidR="00494D38" w:rsidRDefault="00494D3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4D3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στ) Ο ορισμός μελών του οικείου Περιφερειακού Γνωμοδοτικού Συμ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βουλίου Εγγειοβελτιωτικών Έργων.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3, άρθρο 23 παρ.3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4, όπως ισχύει, β.δ.27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2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 50, όπως ισχύει]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ζ) Η εισήγηση στο Υπουργείο Αγροτικής Ανάπτυξης και Τροφίμων (ΥΠΑΑΤ) για τη σύσταση, κατάργηση και συγχώνευση Γενικών Οργα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νισμών Εγγείων Βελτιώσεων (ΓΟΕΒ), μετά από γνώμη  του οικείου Πε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ριφερειακού Γνωμοδοτικού Συμβουλίου Εγγειοβελτιωτικών Έργων.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19,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άρθρα 10 και 42, ν. 4456/17, άρθρο 46, παρ. 3α]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η) Η έγκριση χρηματοδότησης συμπληρωματικών έργων και η υλο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ποίηση του προγράμματος δημοσίων επενδύσεων για την εκτέλεση συ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μπληρωματικών έργων.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414/1976, άρθρο 2, παρ. 1,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 άρθρο 1, παρ. 1, 2 και 3]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θ) Η δυνατότητα ανάθεσης στους ΓΟΕΒ των αρμοδιοτήτων διοίκησης, λειτουργίας και συντήρησης  αντλιοστασίων που εξυπηρετούν έργα Β΄ τάξης.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[ν. 414/76, άρθρο 6, παρ. 2]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ι)  ορισμός των </w:t>
      </w:r>
      <w:r w:rsidR="000E481D">
        <w:rPr>
          <w:rFonts w:ascii="Times New Roman" w:hAnsi="Times New Roman"/>
          <w:sz w:val="28"/>
          <w:szCs w:val="28"/>
        </w:rPr>
        <w:t xml:space="preserve">ζωνών εγγειοβελτιωτικών έργων.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497/74, άρθρο 1, παρ. 2, 3 και 4]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lastRenderedPageBreak/>
        <w:t>ια) Η μεταβίβαση της διαχείρισης, διοίκησης και εκμετάλλευσης ζω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νών εγγειοβελτιωτικών έργων σε ΟΕΒ.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497/74, άρθρο 2, παρ. 2 και 3]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ιβ) Η διαχείριση, διοίκηση και εκμετάλλευση ζωνών εγγειοβελτιωτι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κών έργων που δεν έχουν μεταβιβαστεί σε ΟΕΒ.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497/74, άρθρο 3, παρ. 1]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ιγ) Ο καθορισμός του τρόπου εκμετάλλευσης των ζωνών εγγειοβελτι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ωτικών έργων. </w:t>
      </w: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497/74, άρθρο 4, παρ. 1] </w:t>
      </w:r>
    </w:p>
    <w:p w:rsidR="000E481D" w:rsidRDefault="000E481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481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ιδ) Η μέριμνα και η διενέργεια των απαραίτητων διαδικασιών για τη συγκρότηση Προσωρινών Διοικουσών Επιτροπών (ΠΔΕ) για τη διοί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κηση, λειτουργία και συντήρηση εγγειοβελτιωτικών έργων.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16, παρ. 5,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19]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ιε) Η μέριμνα για την πραγματοποίηση εργασιών συντήρησης και λει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τουργίας εγγειοβελτιωτικών έργων.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414/76, άρθρο 4, παρ. 1]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ιστ) Η εισήγηση προς τον Συντονιστή της οικείας Αποκεντρωμένης Διοίκησης ή τον ασκούντα καθήκοντα Γενικού Γραμματέα Αποκεντρω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μένης Διοίκησης για τα πρόσωπα των μη αιρετών μελών που συμμετέ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χουν στο Διοικητικό Συμβούλιο (ΔΣ) ΓΟΕΒ.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4546/58, άρθρο 66, παρ. 2α]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ιζ) Η οργάνωση προγραμμάτων εκπαίδευσης αγροτών για τη σωστή λειτουργία, συντήρηση και αξιοποίηση των λειτουργούντων συλλογικών εγγειοβελτιωτικών έργων, καθώς και  για τη σωστή χρήση των τεχνικών στοιχείων αυτών.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14, παρ. 1, </w:t>
      </w:r>
      <w:proofErr w:type="spellStart"/>
      <w:r w:rsidRPr="00A24BE1">
        <w:rPr>
          <w:rFonts w:ascii="Times New Roman" w:hAnsi="Times New Roman"/>
          <w:sz w:val="28"/>
          <w:szCs w:val="28"/>
        </w:rPr>
        <w:t>εδ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στ, ν. 4456/2017, άρθρο 46, παρ. 1]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ιη) Η διάλυση Τοπικών Οργανισ</w:t>
      </w:r>
      <w:r w:rsidR="007833CD">
        <w:rPr>
          <w:rFonts w:ascii="Times New Roman" w:hAnsi="Times New Roman"/>
          <w:sz w:val="28"/>
          <w:szCs w:val="28"/>
        </w:rPr>
        <w:t xml:space="preserve">μών Εγγείων Βελτιώσεων (ΤΟΕΒ).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39]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ιθ)  Η μέριμνα για τη διαδικασία εκκαθάρισης καταργούμενων ή δια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λυόμενων ΤΟΕΒ.    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12, παρ. 1, άρθρο 40]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κα)   Η μέριμνα για τη βελτίωση, συμπλήρωση, ανακαίνιση και επέ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κταση εγγειοβελτιωτικών έργων  που έχουν μεταβιβαστεί στους ΟΕΒ.    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1]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κβ)   Η  μέριμνα  για  τη  χρηματοδότηση  συμπληρωματικών  εγγειο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βελτιωτικών  έργων  δικαιοδοσίας  των ΟΕΒ και η εκτέλεσή τους.    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414/1976, άρθρο 2, παρ. 1,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 άρθρο 1, παρ. 1, 2 και 3]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κγ)   Η  μέριμνα  για  τη  συντήρηση  και  αποκατάσταση  φθορών  ή  ζημιών,  οι  οποίες  προκαλούνται  μετά τη μεταβίβαση των έργων στους ΟΕΒ.    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414/76, άρθρο 2, παρ. 1β]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κδ)  Η  συγκέντρωση  τεχνικών  στοιχείων  και  στοιχείων  λειτουργίας  εγγειοβελτιωτικών  έργων, δικαιοδοσίας ΓΟΕΒ, ΤΟΕΒ, ΠΔΕ και Τοπι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κών Επιτροπών Αρδεύσεων (ΤΕΑ), και η αποστολή τους  σε ετήσια βάση στην αρμόδια υπηρεσία του ΥΠΑΑΤ.    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3881/1958 όπως ισχύει, </w:t>
      </w:r>
      <w:proofErr w:type="spellStart"/>
      <w:r w:rsidRPr="00A24BE1">
        <w:rPr>
          <w:rFonts w:ascii="Times New Roman" w:hAnsi="Times New Roman"/>
          <w:sz w:val="28"/>
          <w:szCs w:val="28"/>
        </w:rPr>
        <w:t>π.δ.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97/2017]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κε) Η εισήγηση προς τον Συντονιστή της οικείας Αποκεντρωμένης Διοίκησης ή στον Ασκούντα καθήκοντα Γενικού Γραμματέα Αποκε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ντρωμένης Διοίκησης για την απόλυση των αιρετών μελών ΔΣ των ΓΟΕΒ, εφόσον συντρέχουν οι λόγοι που προβλέπονται στην παρ. 2β του άρθρου  20 του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 (Α΄181).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20, παρ. 2β,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4546/58, άρθρο 66, παρ. 2α]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κστ) Η διάθεση πιστώσεων δημοσίων επενδύσεων για συμμετοχή του Δημοσίου στις δαπάνες διοίκησης, λειτουργίας και συντήρησης και απο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κατάστασης ζημιών από πλημμύρες ή άλλη αιτία που συνιστά ανωτέρα βία σε έργα εγγείων βελτιώσεων δικαιοδοσίας των ΟΕΒ, καθώς και  η εκτέλεσή τους.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414/76, άρθρο 2 όπως ισχύει, </w:t>
      </w:r>
      <w:proofErr w:type="spellStart"/>
      <w:r w:rsidRPr="00A24BE1">
        <w:rPr>
          <w:rFonts w:ascii="Times New Roman" w:hAnsi="Times New Roman"/>
          <w:sz w:val="28"/>
          <w:szCs w:val="28"/>
        </w:rPr>
        <w:t>π.δ.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332/1983] </w:t>
      </w: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Με την εν λόγω αρμοδιότητα αποσαφηνίζεται ότι η Περιφέρεια, πέραν του ΥΠΑΑΤ, δύναται να συμμετέχει στις δαπάνες διοίκησης, λειτουργίας και συντήρησης και αποκατάστασης ζημιών από πλημμύρες ή άλλη αιτία που συνιστά ανωτέρα βία σε έργα εγγείων βελτιώσεων δικαιοδοσίας των ΟΕΒ. </w:t>
      </w:r>
    </w:p>
    <w:p w:rsidR="007833CD" w:rsidRDefault="007833CD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33CD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κζ) Η επέκταση ή μείωση της περιοχής δικαιοδοσίας ΤΟΕΒ και ο ορι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σμός του αριθμού των αντιπροσώπων που εκλέγονται από τις Τοπικές Συνελεύσεις των ΤΟΕΒ και συγκροτούν τη Γενική Συνέλευσή (ΓΣ) τους.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2] 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κη) Η αντικατάσταση ολόκληρου ή μέρους του ΔΣ ΤΟΕΒ, σε περί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πτωση πλημμελούς λειτουργίας του ΤΟΕΒ.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20, παρ. 2α,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26,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7]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κθ) Η αντικατάσταση των αντιπροσώπων που εκλέγονται από τις Το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πικές Συνελεύσεις των ΤΟΕΒ, λόγω αδικαιολόγητων απουσιών σε συνε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λεύσεις της ΓΣ.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20, παρ. 5,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3, παρ. 2]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λ) Η διενέργεια των απαραίτητων διαδικασιών για τη συγκρότηση προσωρινού ΔΣ των ΤΟΕΒ, σε περίπτωση απροθυμίας των ενδιαφερομέ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νων να εκλέξουν το ΔΣ του ΤΟΕΒ.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3881/58, άρθρο 16, παρ. 4]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λα) Η σύγκληση των Τοπικών ή Γενικών Συνελεύσεων των ΤΟΕΒ.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20, παρ. 2, 3,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2, παρ. 6 και άρθρο 3, παρ. 1]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λβ) Η παροχή εντολής για πρόοδο των εργασιών των ΓΣ και ο αυτε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πάγγελτος διορισμός των αντιπροσώπων στις ΓΣ των ΤΟΕΒ, σε περί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πτωση μη εκλογής αυτών από τις Τοπικές Συνελεύσεις.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17, παρ. 11, Π.Δ. 332/83]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λγ) Η σύνταξη τεχνικής έκθεσης με προϋπολογισμό των απαιτούμενων δαπανών συντήρησης των έργων, εφ’ όσον αυτό δεν είναι εφικτό να πραγματοποιηθεί από τους ΤΟΕΒ.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1277/74, άρθρο 3, παρ. 2, ν. 414/76, άρθρο 4, παρ. 1] </w:t>
      </w:r>
    </w:p>
    <w:p w:rsidR="003A3FA8" w:rsidRDefault="003A3FA8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λδ) Η αναγκαστική εγγραφή κονδυλίων στους προϋπολογισμούς των ΤΟΕΒ για τις δαπάνες υπέρ ΓΟΕΒ, σε περίπτωση άρνησης εγγραφής από τους ΤΟΕΒ.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3, παρ. 3]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λε) Η παροχή οδηγιών και η παρακολούθηση εφαρμογής σχεδίων και εργασιών συντήρησης από τους ΟΕΒ.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414/76, άρθρο 4] 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λστ) Η έγκριση εκτέλεσης εργασιών συντήρησης και λειτουργίας εγ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γειοβελτιωτικών έργων που έχουν μεταβιβαστεί στους ΟΕΒ, απολογι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στικά.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414/1976, άρθρο 4]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Η εν λόγω έγκριση αφορά σε επείγουσες εργασίες, που δεν περιλαμ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βάνονται στον προϋπολογισμό του τρέχοντος έτους. 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λζ) Η έγκριση πραγματοποίησης δαπάνης από τους ΟΕΒ, απολογι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στικά δι’ αυτεπιστασίας.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lastRenderedPageBreak/>
        <w:t xml:space="preserve">[ν. 414/1976, άρθρο 4,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3, παρ. 2] 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Η εν λόγω έγκριση αφορά σε δαπάνες επειγουσών εργασιών, σύμφωνα με την παρ. 3 του άρθρου 4 του ν. 414/1976, που δεν περιλαμβάνονται στον προϋπολογισμό του τρέχοντος έτους. 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λη) Η εξέταση ενστάσεων, για επιβολή στρεμματικής εισφοράς, που υποβάλλονται από ωφελούμενους από τα εγγειοβελτιωτικά έργα των ΟΕΒ.</w:t>
      </w: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28, παρ. 2] </w:t>
      </w:r>
    </w:p>
    <w:p w:rsidR="00984C5A" w:rsidRDefault="00984C5A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C5A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λθ) Η έγκριση αιτημάτων για δανειοδότηση των ΟΕΒ.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59 / ΦΕΚ Α΄243, άρθρα 33 και 48]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μ) Η εποπτεία και ο τεχνικός έλεγχος των ΟΕΒ για την εκπόνηση ερευνών και μελετών και για την εκτέλεση εργασιών συντήρησης των έργων.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[ν.4456/2017,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9]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μα) </w:t>
      </w:r>
      <w:r w:rsidR="00A24BE1" w:rsidRPr="00A24BE1">
        <w:rPr>
          <w:rFonts w:ascii="Times New Roman" w:hAnsi="Times New Roman"/>
          <w:sz w:val="28"/>
          <w:szCs w:val="28"/>
        </w:rPr>
        <w:t xml:space="preserve">Η εξέταση ενστάσεων κατά αποφάσεων των ΔΣ των ΟΕΒ.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1, παρ. 2]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μβ) Η θεώρηση των βιβλίων και στοιχείων που υποχρεούνται να τη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ρούν οι ΟΕΒ και η παροχή οδηγιών στους ΟΕΒ για τον τρόπο τήρησής τους.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36 και 49]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μγ) Η εξέταση ενστάσεων περί εγγραφής ή διαγραφής μελών των ΟΕΒ και του Αρδευτικού Οργανισμού Στυμφαλίας Ασωπού Κορινθίας (ΑΟ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ΣΑΚ).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4, παρ. 2]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μδ) Η έγκριση των προϋπολογισμών, των ισολογισμών και των απολο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γισμών των ΓΟΕΒ και του ΑΟΣΑΚ και η διενέργεια ετήσιων οικονομι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κών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διαχειριστικών ελέγχων. Η αποστολή των προϋπολογισμών, των ισολογισμών, των απολογισμών και των πορισμάτων των ετήσιων οικο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νομικών 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 διαχειριστικών ελέγχων στην αρμόδια υπηρεσία του ΥΠΑΑΤ.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46, παρ. 2]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με) Ο έλεγχος των δαπανών που εγγράφονται στους προϋπολογισμούς των ΤΟΕΒ.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3,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34,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9]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lastRenderedPageBreak/>
        <w:t>μστ) Ο έλεγχος και η έγκριση των προϋπολογισμών, των ισολογισμών και των απολογισμών των ΤΟΕΒ, μετά την έγκρισή τους από τη ΓΣ των ΤΟΕΒ και η διενέργεια ετήσιων οικονομικών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 διαχειριστικών ελέγχων. Η αποστολή των προϋπολογισμών, των ισολογισμών, των απολογισμών και των πορισμάτων των ετήσιων οικονομικών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διαχειριστικών ελέγχων στην αρμόδια υπηρεσία του ΥΠΑΑΤ.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3,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 Α΄243, άρθρο 34,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9,π.δ. 97/2017]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μζ) Η μέριμνα για την έγκριση αγοράς γεωργικών</w:t>
      </w:r>
      <w:r w:rsidR="00555F54">
        <w:rPr>
          <w:rFonts w:ascii="Times New Roman" w:hAnsi="Times New Roman"/>
          <w:sz w:val="28"/>
          <w:szCs w:val="28"/>
        </w:rPr>
        <w:t xml:space="preserve"> </w:t>
      </w:r>
      <w:r w:rsidRPr="00A24BE1">
        <w:rPr>
          <w:rFonts w:ascii="Times New Roman" w:hAnsi="Times New Roman"/>
          <w:sz w:val="28"/>
          <w:szCs w:val="28"/>
        </w:rPr>
        <w:t xml:space="preserve">μηχανημάτων και αυτοκινήτων από τους ΟΕΒ.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2647/98 άρθρο 1,  ν. 3852/10 άρθρο 280, 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2396/1953, υπ’ αρ. 6400/2060/1984 </w:t>
      </w:r>
      <w:proofErr w:type="spellStart"/>
      <w:r w:rsidRPr="00A24BE1">
        <w:rPr>
          <w:rFonts w:ascii="Times New Roman" w:hAnsi="Times New Roman"/>
          <w:sz w:val="28"/>
          <w:szCs w:val="28"/>
        </w:rPr>
        <w:t>υ.α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Προεδρίας της Κυβέρνησης όπως τροποποιήθηκε και ισχύει, </w:t>
      </w:r>
      <w:proofErr w:type="spellStart"/>
      <w:r w:rsidRPr="00A24BE1">
        <w:rPr>
          <w:rFonts w:ascii="Times New Roman" w:hAnsi="Times New Roman"/>
          <w:sz w:val="28"/>
          <w:szCs w:val="28"/>
        </w:rPr>
        <w:t>π.δ.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402/1988 άρθρο 22 παρ. δ </w:t>
      </w:r>
      <w:proofErr w:type="spellStart"/>
      <w:r w:rsidRPr="00A24BE1">
        <w:rPr>
          <w:rFonts w:ascii="Times New Roman" w:hAnsi="Times New Roman"/>
          <w:sz w:val="28"/>
          <w:szCs w:val="28"/>
        </w:rPr>
        <w:t>εδ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4BE1">
        <w:rPr>
          <w:rFonts w:ascii="Times New Roman" w:hAnsi="Times New Roman"/>
          <w:sz w:val="28"/>
          <w:szCs w:val="28"/>
        </w:rPr>
        <w:t>ηη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4BE1">
        <w:rPr>
          <w:rFonts w:ascii="Times New Roman" w:hAnsi="Times New Roman"/>
          <w:sz w:val="28"/>
          <w:szCs w:val="28"/>
        </w:rPr>
        <w:t>π.δ.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94/1993]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μη) Η έγκριση του καταστατικού, του κανονισμού εσωτερικής υπηρε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σίας και του κανονισμού λειτουργίας και συντήρησης των έργων των ΤΟΕΒ, καθώς και των τροποποιήσεών τους.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1, παρ. 1, άρθρα 16 και 38]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μθ) Η έγκριση του κανονισμού εσωτερικής υπηρεσίας και του κανονι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σμού λειτουργίας και συντήρησης των έργων των ΓΟΕΒ και του ΑΟ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ΣΑΚ, καθώς και των τροποποιήσεών τους.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59 / ΦΕΚ Α΄243, άρθρο 1]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ν) Η εξέταση ενστάσεων περί απαλλαγής μελών των ΤΟΕΒ από ει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σφορές.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29]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να) Η έγκριση αποφάσεων των ΔΣ των ΤΟΕΒ που αφορούν στον αριθμό, στην κατηγορία, στην ειδικότητα, στα προσόντα και στην αντι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μισθία του προσωπικού που προσλαμβάνουν οι ΤΟΕΒ. </w:t>
      </w: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37, παρ. 2]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Σημειώνεται ότι στις αποφάσεις πρόσληψης του προσωπικού των ΟΕΒ, η αντιμισθία ορίζεται σύμφωνα με την παρ. ιδ του άρθρου 7 του κεφ. Β του ν. 4354/2015, όπως ισχύει.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νβ) Η έγκριση αποφάσεων των ΔΣ των ΓΟΕΒ που αφορούν στον διο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ρισμό ή παύση τακτικού προσωπικού των ΓΟΕΒ.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44, παρ. 15]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νγ) Η μέριμνα για την έκδοση γνώμης από τη νομική υπηρεσία της Περιφέρειας σχετικά με την αναγκαιότητα των προσλήψεων των ΟΕΒ και του ΑΟΣΑΚ και η διαβίβασή της μαζί με το σχετικό  αίτημα πρόσ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lastRenderedPageBreak/>
        <w:t xml:space="preserve">ληψης στον Συντονιστή της οικείας Αποκεντρωμένης Διοίκησης ή στον Ασκούντα καθήκοντα Γενικού Γραμματέα Αποκεντρωμένης Διοίκησης.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[ν. 4456/2017, άρθρο 46, παρ. 2α, </w:t>
      </w:r>
      <w:proofErr w:type="spellStart"/>
      <w:r w:rsidRPr="00A24BE1">
        <w:rPr>
          <w:rFonts w:ascii="Times New Roman" w:hAnsi="Times New Roman"/>
          <w:sz w:val="28"/>
          <w:szCs w:val="28"/>
        </w:rPr>
        <w:t>υποπερίπτ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4BE1">
        <w:rPr>
          <w:rFonts w:ascii="Times New Roman" w:hAnsi="Times New Roman"/>
          <w:sz w:val="28"/>
          <w:szCs w:val="28"/>
        </w:rPr>
        <w:t>ββ</w:t>
      </w:r>
      <w:proofErr w:type="spellEnd"/>
      <w:r w:rsidRPr="00A24BE1">
        <w:rPr>
          <w:rFonts w:ascii="Times New Roman" w:hAnsi="Times New Roman"/>
          <w:sz w:val="28"/>
          <w:szCs w:val="28"/>
        </w:rPr>
        <w:t>,  όπως τροποποιή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θηκε με τον ν. 4546/2018, άρθρο 66, παρ. 8]  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555F5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νδ) Η απόφαση καθορισμού σύνθεσης επιτροπής διαγωνισμού για πλήρωση οργανικών θέσεων των ΤΟΕΒ </w:t>
      </w:r>
      <w:r w:rsidR="00555F54">
        <w:rPr>
          <w:rFonts w:ascii="Times New Roman" w:hAnsi="Times New Roman"/>
          <w:sz w:val="28"/>
          <w:szCs w:val="28"/>
        </w:rPr>
        <w:t>και κάθε σχετικής λεπτομέρειας.</w:t>
      </w:r>
    </w:p>
    <w:p w:rsidR="00A24BE1" w:rsidRDefault="00A24BE1" w:rsidP="00555F5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37, παρ. 2,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. 195/1963, άρθρο 10, παρ. 1]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νε) Η κατάρτιση και η έγκριση προγράμματος καλλιεργειών εντός πε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ριοχής εγγειοβελτιωτικών έργων.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7, παρ. 2] </w:t>
      </w:r>
    </w:p>
    <w:p w:rsidR="00555F54" w:rsidRDefault="00555F54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5F54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νστ) Η αναγκαστική εγγραφή κονδυλίων στους προϋπολογισμούς ΤΟΕΒ, σε περίπτωση παραλείψεως ή αρνήσεως του ΤΟΕΒ.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3, παρ. 3, 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59 / ΦΕΚ Α΄243, άρθρο 31, ν. 4546/2018, άρθρο 66, παρ. 5] </w:t>
      </w:r>
    </w:p>
    <w:p w:rsidR="00FE0C26" w:rsidRDefault="00FE0C26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C26">
        <w:rPr>
          <w:rFonts w:ascii="Times New Roman" w:hAnsi="Times New Roman"/>
          <w:sz w:val="28"/>
          <w:szCs w:val="28"/>
        </w:rPr>
        <w:t>νζ</w:t>
      </w:r>
      <w:proofErr w:type="spellEnd"/>
      <w:r w:rsidRPr="00FE0C26">
        <w:rPr>
          <w:rFonts w:ascii="Times New Roman" w:hAnsi="Times New Roman"/>
          <w:sz w:val="28"/>
          <w:szCs w:val="28"/>
        </w:rPr>
        <w:t>) Η θεώρηση πινάκων εισφορών των ΟΕΒ,</w:t>
      </w:r>
      <w:r w:rsidRPr="00A24BE1">
        <w:rPr>
          <w:rFonts w:ascii="Times New Roman" w:hAnsi="Times New Roman"/>
          <w:sz w:val="28"/>
          <w:szCs w:val="28"/>
        </w:rPr>
        <w:t xml:space="preserve"> του ΑΟΣΑΚ και των ΤΕΑ.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1277/72, άρθρο 3, παρ. 1, ν. 2538/97, άρθρο 61, όπως τροποποιή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θηκε με το άρθρο 66 του ν. 4546/2018]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νη) Η σύσταση επιτροπής προσδιορισμού της ωφέλειας των εγγειοβελ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τιωτικών έργων και του ύψους της εισφοράς υπέρ ΤΟΕΒ και η εκδίκαση ενστάσεων κατά αποφάσεων της.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13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9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59 / ΦΕΚ Α΄243, άρθρο 28, 128141/1594/802/27.12.79 έγ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>γραφο Γεν. Δ/</w:t>
      </w:r>
      <w:proofErr w:type="spellStart"/>
      <w:r w:rsidRPr="00A24BE1">
        <w:rPr>
          <w:rFonts w:ascii="Times New Roman" w:hAnsi="Times New Roman"/>
          <w:sz w:val="28"/>
          <w:szCs w:val="28"/>
        </w:rPr>
        <w:t>νσης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Ε.Β Υπ. Γεωργίας]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νθ) Η εισήγηση προς τον Συντονιστή της οικείας Αποκεντρωμένης Διοίκησης ή στον Ασκούντα καθήκοντα Γενικού Γραμματέα Αποκε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ντρωμένης Διοίκησης για την αντικατάσταση μη αιρετών  μελών ΔΣ των ΓΟΕΒ, προ της λήξεως της θητείας τους, μετά από σύμφωνη γνώμη του οικείου  ΠΓΣΕΕ.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ν.δ.</w:t>
      </w:r>
      <w:proofErr w:type="spellEnd"/>
      <w:r w:rsidRPr="00A24BE1">
        <w:rPr>
          <w:rFonts w:ascii="Times New Roman" w:hAnsi="Times New Roman"/>
          <w:sz w:val="28"/>
          <w:szCs w:val="28"/>
        </w:rPr>
        <w:t xml:space="preserve"> 4546/58, άρθρο 66, παρ. 2α]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 xml:space="preserve">ξ) Η αντικατάσταση αντιπροσώπων παραγωγών στο ΔΣ του ΑΟΣΑΚ, προ της λήξεως της θητείας τους.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[</w:t>
      </w:r>
      <w:proofErr w:type="spellStart"/>
      <w:r w:rsidRPr="00A24BE1">
        <w:rPr>
          <w:rFonts w:ascii="Times New Roman" w:hAnsi="Times New Roman"/>
          <w:sz w:val="28"/>
          <w:szCs w:val="28"/>
        </w:rPr>
        <w:t>β.δ</w:t>
      </w:r>
      <w:proofErr w:type="spellEnd"/>
      <w:r w:rsidRPr="00A24BE1">
        <w:rPr>
          <w:rFonts w:ascii="Times New Roman" w:hAnsi="Times New Roman"/>
          <w:sz w:val="28"/>
          <w:szCs w:val="28"/>
        </w:rPr>
        <w:t>. 20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>1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58 / ΦΕΚ 16 Α΄, άρθρο 6, παρ. 2] </w:t>
      </w: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ξα) Κάθε άλλο θέμα το οποίο εμπίπτει στο πεδίο των αρμοδιοτήτων που ασκούνται από τις Περιφέρειες σύμφωνα με την αριθμ. 15 αρμοδιό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τητα της περίπτωσης β «Υποτομέας Γεωργίας» του τομέα Β «Γεωργίας 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 </w:t>
      </w:r>
      <w:r w:rsidRPr="00A24BE1">
        <w:rPr>
          <w:rFonts w:ascii="Times New Roman" w:hAnsi="Times New Roman"/>
          <w:sz w:val="28"/>
          <w:szCs w:val="28"/>
        </w:rPr>
        <w:lastRenderedPageBreak/>
        <w:t xml:space="preserve">Κτηνοτροφίας </w:t>
      </w:r>
      <w:r w:rsidRPr="00A24BE1">
        <w:rPr>
          <w:rFonts w:ascii="Cambria Math" w:hAnsi="Cambria Math" w:cs="Cambria Math"/>
          <w:sz w:val="28"/>
          <w:szCs w:val="28"/>
        </w:rPr>
        <w:t>‐</w:t>
      </w:r>
      <w:r w:rsidRPr="00A24BE1">
        <w:rPr>
          <w:rFonts w:ascii="Times New Roman" w:hAnsi="Times New Roman"/>
          <w:sz w:val="28"/>
          <w:szCs w:val="28"/>
        </w:rPr>
        <w:t xml:space="preserve"> Αλιείας» της παρ. ΙΙ του άρθρου 186 του ν. 3852/2010, όπως ισχύει, σύμφωνα με την ισχύουσα νομοθεσία περί εγγειοβελτιωτι</w:t>
      </w:r>
      <w:r w:rsidR="008B7994">
        <w:rPr>
          <w:rFonts w:ascii="Times New Roman" w:hAnsi="Times New Roman"/>
          <w:sz w:val="28"/>
          <w:szCs w:val="28"/>
        </w:rPr>
        <w:softHyphen/>
      </w:r>
      <w:r w:rsidRPr="00A24BE1">
        <w:rPr>
          <w:rFonts w:ascii="Times New Roman" w:hAnsi="Times New Roman"/>
          <w:sz w:val="28"/>
          <w:szCs w:val="28"/>
        </w:rPr>
        <w:t xml:space="preserve">κών έργων και ΟΕΒ. </w:t>
      </w: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4BE1" w:rsidRPr="00A24BE1" w:rsidRDefault="00A24BE1" w:rsidP="00A24B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3FA8" w:rsidRDefault="003A3FA8" w:rsidP="003A3F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3B98" w:rsidRPr="00243B98" w:rsidRDefault="00A24BE1" w:rsidP="003A3F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BE1"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243B98" w:rsidRPr="00243B98" w:rsidRDefault="00243B98" w:rsidP="00243B9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3B98" w:rsidRPr="00243B98" w:rsidRDefault="00243B98" w:rsidP="00243B9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3B98" w:rsidRPr="00243B98" w:rsidRDefault="00243B98" w:rsidP="00243B9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3B98" w:rsidRDefault="00243B98" w:rsidP="00243B9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05CEB" w:rsidRDefault="00E05CEB"/>
    <w:sectPr w:rsidR="00E05CEB" w:rsidSect="00984C5A">
      <w:headerReference w:type="default" r:id="rId6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99" w:rsidRDefault="00B15499" w:rsidP="00984C5A">
      <w:pPr>
        <w:spacing w:after="0" w:line="240" w:lineRule="auto"/>
      </w:pPr>
      <w:r>
        <w:separator/>
      </w:r>
    </w:p>
  </w:endnote>
  <w:endnote w:type="continuationSeparator" w:id="0">
    <w:p w:rsidR="00B15499" w:rsidRDefault="00B15499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99" w:rsidRDefault="00B15499" w:rsidP="00984C5A">
      <w:pPr>
        <w:spacing w:after="0" w:line="240" w:lineRule="auto"/>
      </w:pPr>
      <w:r>
        <w:separator/>
      </w:r>
    </w:p>
  </w:footnote>
  <w:footnote w:type="continuationSeparator" w:id="0">
    <w:p w:rsidR="00B15499" w:rsidRDefault="00B15499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062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4C5A" w:rsidRPr="00984C5A" w:rsidRDefault="00984C5A">
        <w:pPr>
          <w:pStyle w:val="a4"/>
          <w:jc w:val="center"/>
          <w:rPr>
            <w:rFonts w:ascii="Times New Roman" w:hAnsi="Times New Roman" w:cs="Times New Roman"/>
          </w:rPr>
        </w:pPr>
        <w:r w:rsidRPr="00984C5A">
          <w:rPr>
            <w:rFonts w:ascii="Times New Roman" w:hAnsi="Times New Roman" w:cs="Times New Roman"/>
          </w:rPr>
          <w:fldChar w:fldCharType="begin"/>
        </w:r>
        <w:r w:rsidRPr="00984C5A">
          <w:rPr>
            <w:rFonts w:ascii="Times New Roman" w:hAnsi="Times New Roman" w:cs="Times New Roman"/>
          </w:rPr>
          <w:instrText>PAGE   \* MERGEFORMAT</w:instrText>
        </w:r>
        <w:r w:rsidRPr="00984C5A">
          <w:rPr>
            <w:rFonts w:ascii="Times New Roman" w:hAnsi="Times New Roman" w:cs="Times New Roman"/>
          </w:rPr>
          <w:fldChar w:fldCharType="separate"/>
        </w:r>
        <w:r w:rsidR="008B7994">
          <w:rPr>
            <w:rFonts w:ascii="Times New Roman" w:hAnsi="Times New Roman" w:cs="Times New Roman"/>
            <w:noProof/>
          </w:rPr>
          <w:t>6</w:t>
        </w:r>
        <w:r w:rsidRPr="00984C5A">
          <w:rPr>
            <w:rFonts w:ascii="Times New Roman" w:hAnsi="Times New Roman" w:cs="Times New Roman"/>
          </w:rPr>
          <w:fldChar w:fldCharType="end"/>
        </w:r>
      </w:p>
    </w:sdtContent>
  </w:sdt>
  <w:p w:rsidR="00984C5A" w:rsidRDefault="00984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26"/>
    <w:rsid w:val="00084C6E"/>
    <w:rsid w:val="000E2F72"/>
    <w:rsid w:val="000E481D"/>
    <w:rsid w:val="00243B98"/>
    <w:rsid w:val="003823D8"/>
    <w:rsid w:val="003A3FA8"/>
    <w:rsid w:val="00494D38"/>
    <w:rsid w:val="00512730"/>
    <w:rsid w:val="00555F54"/>
    <w:rsid w:val="007833CD"/>
    <w:rsid w:val="008B7994"/>
    <w:rsid w:val="00984C5A"/>
    <w:rsid w:val="00994F26"/>
    <w:rsid w:val="009C7FB1"/>
    <w:rsid w:val="00A24BE1"/>
    <w:rsid w:val="00AE7BAF"/>
    <w:rsid w:val="00B15499"/>
    <w:rsid w:val="00E05CEB"/>
    <w:rsid w:val="00FD5074"/>
    <w:rsid w:val="00FE0C26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DC3"/>
  <w15:docId w15:val="{9A64BEC6-B57A-4CB9-AACF-607DD5E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B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984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84C5A"/>
  </w:style>
  <w:style w:type="paragraph" w:styleId="a5">
    <w:name w:val="footer"/>
    <w:basedOn w:val="a"/>
    <w:link w:val="Char0"/>
    <w:uiPriority w:val="99"/>
    <w:unhideWhenUsed/>
    <w:rsid w:val="00984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2322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ΤΟΕΒ</cp:lastModifiedBy>
  <cp:revision>19</cp:revision>
  <dcterms:created xsi:type="dcterms:W3CDTF">2019-11-03T07:33:00Z</dcterms:created>
  <dcterms:modified xsi:type="dcterms:W3CDTF">2020-10-06T03:06:00Z</dcterms:modified>
</cp:coreProperties>
</file>