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6" w:rsidRPr="00D63788" w:rsidRDefault="00906A06" w:rsidP="00906A06">
      <w:pPr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***********************************************************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</w:p>
    <w:p w:rsidR="00906A06" w:rsidRPr="00D63788" w:rsidRDefault="00906A06" w:rsidP="00906A06">
      <w:pPr>
        <w:ind w:firstLine="284"/>
        <w:jc w:val="center"/>
        <w:rPr>
          <w:rFonts w:eastAsia="Times New Roman"/>
          <w:b/>
          <w:sz w:val="32"/>
          <w:szCs w:val="32"/>
          <w:lang w:eastAsia="el-GR"/>
        </w:rPr>
      </w:pPr>
      <w:r w:rsidRPr="00D63788">
        <w:rPr>
          <w:rFonts w:eastAsia="Times New Roman"/>
          <w:b/>
          <w:sz w:val="32"/>
          <w:szCs w:val="32"/>
          <w:lang w:eastAsia="el-GR"/>
        </w:rPr>
        <w:t>1. Ένταξη των ΤΟΕΒ στο νέο Μισθολόγιο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 xml:space="preserve">   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 xml:space="preserve">Στο νέο Μισθολόγιο του δημοσίου υπάγεται όλο το προσωπικό των Ο.Ε.Β. τόσο το μόνιμο, όσο και το εποχιακό. 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Γι’ αυτό και οι διατάξεις που αφορούν το βαθμολογικό και μισθολο</w:t>
      </w:r>
      <w:r w:rsidRPr="00D63788">
        <w:rPr>
          <w:rFonts w:eastAsia="Times New Roman"/>
          <w:sz w:val="28"/>
          <w:szCs w:val="28"/>
          <w:lang w:eastAsia="el-GR"/>
        </w:rPr>
        <w:softHyphen/>
        <w:t>γικό καθεστώς των μονίμων υπαλλήλων, ισχύουν και στο εποχιακό προ</w:t>
      </w:r>
      <w:r w:rsidRPr="00D63788">
        <w:rPr>
          <w:rFonts w:eastAsia="Times New Roman"/>
          <w:sz w:val="28"/>
          <w:szCs w:val="28"/>
          <w:lang w:eastAsia="el-GR"/>
        </w:rPr>
        <w:softHyphen/>
        <w:t>σωπικό των Ο.Ε.Β.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Ειδικότερα: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proofErr w:type="spellStart"/>
      <w:r w:rsidRPr="00D63788">
        <w:rPr>
          <w:rFonts w:eastAsia="Times New Roman"/>
          <w:sz w:val="28"/>
          <w:szCs w:val="28"/>
          <w:lang w:val="en-US" w:eastAsia="el-GR"/>
        </w:rPr>
        <w:t>i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>) Στο Άρθρο 31 «Αναλογικές ρυθμίσεις για νομικά πρόσωπα του ευ</w:t>
      </w:r>
      <w:r w:rsidRPr="00D63788">
        <w:rPr>
          <w:rFonts w:eastAsia="Times New Roman"/>
          <w:sz w:val="28"/>
          <w:szCs w:val="28"/>
          <w:lang w:eastAsia="el-GR"/>
        </w:rPr>
        <w:softHyphen/>
        <w:t>ρύτερου δημόσιου τομέα», αναφέρει την εφαρμογή των διατάξεων του ν. 4024/2011 (νέο Μισθολόγιο-Βαθμολόγιο).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 xml:space="preserve">Επίσης στην Εγκύκλιο με 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αριθμ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 xml:space="preserve">. 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πρωτ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>: ΕΓΔΕΚΟ 2073/18.11.2011, η εγκύκλιος αναφέρει:</w:t>
      </w:r>
    </w:p>
    <w:p w:rsidR="00906A06" w:rsidRPr="00D63788" w:rsidRDefault="00906A06" w:rsidP="00906A06">
      <w:pPr>
        <w:jc w:val="center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Άρθρο 31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 xml:space="preserve">1.α) Στα νομικά πρόσωπα ιδιωτικού δικαίου (Ν.Π.Ι.Δ.) που ανήκουν στο κράτος ή σε Ν.Π.Δ.Δ. ή σε Ο.Τ.Α., κατά την έννοια της επίτευξης κρατικού ή δημόσιου ή 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αυτοδιοικητικού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 xml:space="preserve"> σκοπού, εποπτείας, διορισμού και ελέγχου της πλειοψηφίας της διοίκησής τους, συμπεριλαμβανομένων των Γ</w:t>
      </w:r>
      <w:r w:rsidRPr="00D63788">
        <w:rPr>
          <w:rFonts w:eastAsia="Times New Roman"/>
          <w:b/>
          <w:sz w:val="28"/>
          <w:szCs w:val="28"/>
          <w:lang w:eastAsia="el-GR"/>
        </w:rPr>
        <w:t>ενικών και Τοπικών Οργανισμών Εγγείων Βελτιώσεων</w:t>
      </w:r>
      <w:r w:rsidRPr="00D63788">
        <w:rPr>
          <w:rFonts w:eastAsia="Times New Roman"/>
          <w:sz w:val="28"/>
          <w:szCs w:val="28"/>
          <w:lang w:eastAsia="el-GR"/>
        </w:rPr>
        <w:t>, ή επιχο</w:t>
      </w:r>
      <w:r w:rsidRPr="00D63788">
        <w:rPr>
          <w:rFonts w:eastAsia="Times New Roman"/>
          <w:sz w:val="28"/>
          <w:szCs w:val="28"/>
          <w:lang w:eastAsia="el-GR"/>
        </w:rPr>
        <w:softHyphen/>
        <w:t>ρηγούνται τακτικά, σύμφωνα με τις κείμενες διατάξεις, από πόρους των ως άνω φορέων κατά 50% τουλάχιστον του ετήσιου προϋπολογισμού τους, καθώς και των λοιπών δημόσιων επιχειρήσεων, οργανισμών και ανωνύμων εταιρειών, που υπάγονται στο πεδίο εφαρμογής των διατάξεων του Κεφαλαίου Α΄ του ν. 3429/2005 (ΦΕΚ 314 Α΄), όπως έχουν τροπο</w:t>
      </w:r>
      <w:r w:rsidRPr="00D63788">
        <w:rPr>
          <w:rFonts w:eastAsia="Times New Roman"/>
          <w:sz w:val="28"/>
          <w:szCs w:val="28"/>
          <w:lang w:eastAsia="el-GR"/>
        </w:rPr>
        <w:softHyphen/>
        <w:t>ποιηθεί με τις διατάξεις της παρ. 1α του άρθρου 1 του ν. 3899/2010 (ΦΕΚ 212 Α΄), με εξαίρεση τα Ν.Π.Ι.Δ. του ν. 3864/2010 (ΦΕΚ 119 Α΄) και του άρθρου 1 του ν. 3986/2011 (ΦΕΚ 152 Α΄ ), εφαρμόζεται ανώτατο όριο μέσου κατά κεφαλή κόστους αμοιβών προσωπικού σύμφωνα με τα οριζό</w:t>
      </w:r>
      <w:r w:rsidRPr="00D63788">
        <w:rPr>
          <w:rFonts w:eastAsia="Times New Roman"/>
          <w:sz w:val="28"/>
          <w:szCs w:val="28"/>
          <w:lang w:eastAsia="el-GR"/>
        </w:rPr>
        <w:softHyphen/>
        <w:t>μενα στις επόμενες παραγράφους…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3. Για τους εργαζόμενους στους φορείς της υποπαραγράφου 1α με σχέση εργασίας αορίστου ή ορισμένου χρόνου, το ανώτατο όριο των μη</w:t>
      </w:r>
      <w:r w:rsidRPr="00D63788">
        <w:rPr>
          <w:rFonts w:eastAsia="Times New Roman"/>
          <w:sz w:val="28"/>
          <w:szCs w:val="28"/>
          <w:lang w:eastAsia="el-GR"/>
        </w:rPr>
        <w:softHyphen/>
        <w:t>νιαίων τακτικών αποδοχών για κάθε εκπαιδευτική κατηγορία ΥΕ, ΔΕ, ΤΕ και ΠΕ ισούται με το αντίστοιχο ανώτατο όριο που προκύπτει κατ’ εφαρ</w:t>
      </w:r>
      <w:r w:rsidRPr="00D63788">
        <w:rPr>
          <w:rFonts w:eastAsia="Times New Roman"/>
          <w:sz w:val="28"/>
          <w:szCs w:val="28"/>
          <w:lang w:eastAsia="el-GR"/>
        </w:rPr>
        <w:softHyphen/>
        <w:t>μογή των διατάξεων του παρόντος Κεφαλαίου για τους υπαλλήλους με αντίστοιχη σχέση εργασίας (ιδιωτικού δικαίου αορίστου ή ορισμένου χρόνου) στο Δημόσιο.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bookmarkStart w:id="0" w:name="_GoBack"/>
      <w:bookmarkEnd w:id="0"/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u w:val="single"/>
          <w:lang w:val="en-US" w:eastAsia="el-GR"/>
        </w:rPr>
        <w:t>ii</w:t>
      </w:r>
      <w:r w:rsidRPr="00D63788">
        <w:rPr>
          <w:rFonts w:eastAsia="Times New Roman"/>
          <w:sz w:val="28"/>
          <w:szCs w:val="28"/>
          <w:u w:val="single"/>
          <w:lang w:eastAsia="el-GR"/>
        </w:rPr>
        <w:t xml:space="preserve">) Με τις διατάξεις της </w:t>
      </w:r>
      <w:proofErr w:type="spellStart"/>
      <w:r w:rsidRPr="00D63788">
        <w:rPr>
          <w:rFonts w:eastAsia="Times New Roman"/>
          <w:sz w:val="28"/>
          <w:szCs w:val="28"/>
          <w:u w:val="single"/>
          <w:lang w:eastAsia="el-GR"/>
        </w:rPr>
        <w:t>περ</w:t>
      </w:r>
      <w:proofErr w:type="spellEnd"/>
      <w:r w:rsidRPr="00D63788">
        <w:rPr>
          <w:rFonts w:eastAsia="Times New Roman"/>
          <w:sz w:val="28"/>
          <w:szCs w:val="28"/>
          <w:u w:val="single"/>
          <w:lang w:eastAsia="el-GR"/>
        </w:rPr>
        <w:t>. 12, προβλέπεται ότι οι διατάξεις που αφο</w:t>
      </w:r>
      <w:r w:rsidRPr="00D63788">
        <w:rPr>
          <w:rFonts w:eastAsia="Times New Roman"/>
          <w:sz w:val="28"/>
          <w:szCs w:val="28"/>
          <w:u w:val="single"/>
          <w:lang w:eastAsia="el-GR"/>
        </w:rPr>
        <w:softHyphen/>
        <w:t>ρούν το βαθμολογικό και μισθολογικό καθεστώς των υπαλλήλων του άρ</w:t>
      </w:r>
      <w:r w:rsidRPr="00D63788">
        <w:rPr>
          <w:rFonts w:eastAsia="Times New Roman"/>
          <w:sz w:val="28"/>
          <w:szCs w:val="28"/>
          <w:u w:val="single"/>
          <w:lang w:eastAsia="el-GR"/>
        </w:rPr>
        <w:softHyphen/>
        <w:t>θρου 4 του Κεφαλαίου Δεύτερου του ν. 4024/2011 έχουν ανάλογη εφαρ</w:t>
      </w:r>
      <w:r w:rsidRPr="00D63788">
        <w:rPr>
          <w:rFonts w:eastAsia="Times New Roman"/>
          <w:sz w:val="28"/>
          <w:szCs w:val="28"/>
          <w:u w:val="single"/>
          <w:lang w:eastAsia="el-GR"/>
        </w:rPr>
        <w:softHyphen/>
        <w:t>μογή, από 1-1-2013, και στο προσωπικό των νομικών προσώπων ιδιωτι</w:t>
      </w:r>
      <w:r w:rsidRPr="00D63788">
        <w:rPr>
          <w:rFonts w:eastAsia="Times New Roman"/>
          <w:sz w:val="28"/>
          <w:szCs w:val="28"/>
          <w:u w:val="single"/>
          <w:lang w:eastAsia="el-GR"/>
        </w:rPr>
        <w:softHyphen/>
      </w:r>
      <w:r w:rsidRPr="00D63788">
        <w:rPr>
          <w:rFonts w:eastAsia="Times New Roman"/>
          <w:sz w:val="28"/>
          <w:szCs w:val="28"/>
          <w:u w:val="single"/>
          <w:lang w:eastAsia="el-GR"/>
        </w:rPr>
        <w:lastRenderedPageBreak/>
        <w:t xml:space="preserve">κού δικαίου (Ν.Π.Ι.Δ.), που ανήκουν στο Κράτος ή σε Ν.Π.Δ.Δ. ή σε Ο.Τ.Α., κατά την έννοια της επίτευξης κρατικού ή δημόσιου ή </w:t>
      </w:r>
      <w:proofErr w:type="spellStart"/>
      <w:r w:rsidRPr="00D63788">
        <w:rPr>
          <w:rFonts w:eastAsia="Times New Roman"/>
          <w:sz w:val="28"/>
          <w:szCs w:val="28"/>
          <w:u w:val="single"/>
          <w:lang w:eastAsia="el-GR"/>
        </w:rPr>
        <w:t>αυτοδιοι</w:t>
      </w:r>
      <w:r w:rsidRPr="00D63788">
        <w:rPr>
          <w:rFonts w:eastAsia="Times New Roman"/>
          <w:sz w:val="28"/>
          <w:szCs w:val="28"/>
          <w:u w:val="single"/>
          <w:lang w:eastAsia="el-GR"/>
        </w:rPr>
        <w:softHyphen/>
        <w:t>κητικού</w:t>
      </w:r>
      <w:proofErr w:type="spellEnd"/>
      <w:r w:rsidRPr="00D63788">
        <w:rPr>
          <w:rFonts w:eastAsia="Times New Roman"/>
          <w:sz w:val="28"/>
          <w:szCs w:val="28"/>
          <w:u w:val="single"/>
          <w:lang w:eastAsia="el-GR"/>
        </w:rPr>
        <w:t xml:space="preserve"> σκοπού, εποπτείας, διορισμού και ελέγχου της πλειοψηφίας της Διοίκησής τους, συμπεριλαμβανομένων των </w:t>
      </w:r>
      <w:r w:rsidRPr="00D63788">
        <w:rPr>
          <w:rFonts w:eastAsia="Times New Roman"/>
          <w:b/>
          <w:sz w:val="28"/>
          <w:szCs w:val="28"/>
          <w:u w:val="single"/>
          <w:lang w:eastAsia="el-GR"/>
        </w:rPr>
        <w:t>Γενικών και Τοπικών Ορ</w:t>
      </w:r>
      <w:r w:rsidRPr="00D63788">
        <w:rPr>
          <w:rFonts w:eastAsia="Times New Roman"/>
          <w:b/>
          <w:sz w:val="28"/>
          <w:szCs w:val="28"/>
          <w:u w:val="single"/>
          <w:lang w:eastAsia="el-GR"/>
        </w:rPr>
        <w:softHyphen/>
        <w:t>γανισμών Εγγείων Βελτιώσεων</w:t>
      </w:r>
      <w:r w:rsidRPr="00D63788">
        <w:rPr>
          <w:rFonts w:eastAsia="Times New Roman"/>
          <w:sz w:val="28"/>
          <w:szCs w:val="28"/>
          <w:u w:val="single"/>
          <w:lang w:eastAsia="el-GR"/>
        </w:rPr>
        <w:t>,</w:t>
      </w:r>
      <w:r w:rsidRPr="00D63788">
        <w:rPr>
          <w:rFonts w:eastAsia="Times New Roman"/>
          <w:sz w:val="28"/>
          <w:szCs w:val="28"/>
          <w:lang w:eastAsia="el-GR"/>
        </w:rPr>
        <w:t xml:space="preserve"> ή επιχορηγούνται τακτικά, σύμφωνα με τις κείμενες διατάξεις, από πόρους των ως άνω φορέων κατά 50% τουλά</w:t>
      </w:r>
      <w:r w:rsidRPr="00D63788">
        <w:rPr>
          <w:rFonts w:eastAsia="Times New Roman"/>
          <w:sz w:val="28"/>
          <w:szCs w:val="28"/>
          <w:lang w:eastAsia="el-GR"/>
        </w:rPr>
        <w:softHyphen/>
        <w:t>χιστον του ετήσιου προϋπολογισμού τους, καθώς και των λοιπών δημό</w:t>
      </w:r>
      <w:r w:rsidRPr="00D63788">
        <w:rPr>
          <w:rFonts w:eastAsia="Times New Roman"/>
          <w:sz w:val="28"/>
          <w:szCs w:val="28"/>
          <w:lang w:eastAsia="el-GR"/>
        </w:rPr>
        <w:softHyphen/>
        <w:t>σιων επιχειρήσεων, οργανισμών και ανωνύμων εταιρειών, που υπάγονται στο πεδίο εφαρμογής των διατάξεων του Κεφαλαίου Α΄ του ν. 3429/2005 (ΦΕΚ 314 Α΄), όπως έχουν τροποποιηθεί με τις διατάξεις της παρ. 1α του άρθρου 1 του ν. 3899/2010 (ΦΕΚ 212 Α΄).</w:t>
      </w:r>
    </w:p>
    <w:p w:rsidR="00906A06" w:rsidRPr="00D63788" w:rsidRDefault="00906A06" w:rsidP="00906A06">
      <w:pPr>
        <w:ind w:firstLine="426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 xml:space="preserve">Εγκύκλιος με 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αριθμ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 xml:space="preserve">. 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πρωτ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>.: οικ. 2/85127/0022/ 22-11-2012, του Υπουργείου Οικονομικών, Δ/</w:t>
      </w:r>
      <w:proofErr w:type="spellStart"/>
      <w:r w:rsidRPr="00D63788">
        <w:rPr>
          <w:rFonts w:eastAsia="Times New Roman"/>
          <w:sz w:val="28"/>
          <w:szCs w:val="28"/>
          <w:lang w:eastAsia="el-GR"/>
        </w:rPr>
        <w:t>νση</w:t>
      </w:r>
      <w:proofErr w:type="spellEnd"/>
      <w:r w:rsidRPr="00D63788">
        <w:rPr>
          <w:rFonts w:eastAsia="Times New Roman"/>
          <w:sz w:val="28"/>
          <w:szCs w:val="28"/>
          <w:lang w:eastAsia="el-GR"/>
        </w:rPr>
        <w:t>: 22η Μισθολογίου.</w:t>
      </w: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</w:p>
    <w:p w:rsidR="00906A06" w:rsidRPr="00D63788" w:rsidRDefault="00906A06" w:rsidP="00906A06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</w:p>
    <w:p w:rsidR="00906A06" w:rsidRPr="00D63788" w:rsidRDefault="00906A06" w:rsidP="00906A06">
      <w:pPr>
        <w:ind w:left="360" w:hanging="360"/>
        <w:jc w:val="both"/>
        <w:rPr>
          <w:rFonts w:eastAsia="Times New Roman"/>
          <w:sz w:val="28"/>
          <w:szCs w:val="28"/>
          <w:lang w:eastAsia="el-GR"/>
        </w:rPr>
      </w:pPr>
      <w:r w:rsidRPr="00D63788">
        <w:rPr>
          <w:rFonts w:eastAsia="Times New Roman"/>
          <w:sz w:val="28"/>
          <w:szCs w:val="28"/>
          <w:lang w:eastAsia="el-GR"/>
        </w:rPr>
        <w:t>***********************************************************</w:t>
      </w:r>
    </w:p>
    <w:p w:rsidR="00906A06" w:rsidRDefault="00906A06" w:rsidP="00906A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7A0" w:rsidRDefault="002337A0"/>
    <w:sectPr w:rsidR="002337A0" w:rsidSect="00906A0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9C"/>
    <w:rsid w:val="00213882"/>
    <w:rsid w:val="002337A0"/>
    <w:rsid w:val="0087209C"/>
    <w:rsid w:val="008D3CF2"/>
    <w:rsid w:val="00906A06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0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0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2014-05-24T14:21:00Z</dcterms:created>
  <dcterms:modified xsi:type="dcterms:W3CDTF">2014-05-24T14:21:00Z</dcterms:modified>
</cp:coreProperties>
</file>