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48A" w:rsidRDefault="00A6248A" w:rsidP="00A6248A">
      <w:pPr>
        <w:ind w:firstLine="284"/>
        <w:jc w:val="both"/>
        <w:rPr>
          <w:rFonts w:eastAsia="Calibri"/>
          <w:sz w:val="28"/>
          <w:szCs w:val="28"/>
          <w:lang w:eastAsia="en-US"/>
        </w:rPr>
      </w:pPr>
    </w:p>
    <w:p w:rsidR="00A6248A" w:rsidRPr="00E003E1" w:rsidRDefault="00A6248A" w:rsidP="00A6248A">
      <w:pPr>
        <w:ind w:firstLine="284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«</w:t>
      </w:r>
      <w:r w:rsidRPr="00E003E1">
        <w:rPr>
          <w:rFonts w:eastAsia="Calibri"/>
          <w:b/>
          <w:sz w:val="28"/>
          <w:szCs w:val="28"/>
          <w:lang w:eastAsia="en-US"/>
        </w:rPr>
        <w:t>3.2 Χάραξη αρδευτικών δικτύων.</w:t>
      </w:r>
    </w:p>
    <w:p w:rsidR="00A6248A" w:rsidRPr="00E003E1" w:rsidRDefault="00A6248A" w:rsidP="00A6248A">
      <w:pPr>
        <w:ind w:firstLine="284"/>
        <w:jc w:val="both"/>
        <w:rPr>
          <w:rFonts w:eastAsia="Calibri"/>
          <w:b/>
          <w:sz w:val="28"/>
          <w:szCs w:val="28"/>
          <w:lang w:eastAsia="en-US"/>
        </w:rPr>
      </w:pPr>
    </w:p>
    <w:p w:rsidR="00A6248A" w:rsidRPr="00077D14" w:rsidRDefault="00A6248A" w:rsidP="00A6248A">
      <w:pPr>
        <w:ind w:firstLine="284"/>
        <w:jc w:val="both"/>
        <w:rPr>
          <w:rFonts w:eastAsia="Calibri"/>
          <w:b/>
          <w:sz w:val="28"/>
          <w:szCs w:val="28"/>
          <w:lang w:eastAsia="en-US"/>
        </w:rPr>
      </w:pPr>
      <w:r w:rsidRPr="00E003E1">
        <w:rPr>
          <w:rFonts w:eastAsia="Calibri"/>
          <w:b/>
          <w:sz w:val="28"/>
          <w:szCs w:val="28"/>
          <w:lang w:eastAsia="en-US"/>
        </w:rPr>
        <w:t>3.2.1 Χάραξη</w:t>
      </w:r>
      <w:r>
        <w:rPr>
          <w:rFonts w:eastAsia="Calibri"/>
          <w:b/>
          <w:sz w:val="28"/>
          <w:szCs w:val="28"/>
          <w:lang w:eastAsia="en-US"/>
        </w:rPr>
        <w:t xml:space="preserve"> δικτύου επιφανειακής αρδεύσεως</w:t>
      </w:r>
      <w:r w:rsidRPr="00077D14">
        <w:rPr>
          <w:rFonts w:eastAsia="Calibri"/>
          <w:b/>
          <w:sz w:val="28"/>
          <w:szCs w:val="28"/>
          <w:lang w:eastAsia="en-US"/>
        </w:rPr>
        <w:t xml:space="preserve">. </w:t>
      </w:r>
    </w:p>
    <w:p w:rsidR="00A6248A" w:rsidRDefault="00A6248A" w:rsidP="00A6248A">
      <w:pPr>
        <w:pStyle w:val="a3"/>
        <w:ind w:left="284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………………..</w:t>
      </w:r>
    </w:p>
    <w:p w:rsidR="00A6248A" w:rsidRPr="00A6248A" w:rsidRDefault="00A6248A" w:rsidP="00A6248A">
      <w:pPr>
        <w:pStyle w:val="a3"/>
        <w:ind w:left="0" w:firstLine="284"/>
        <w:jc w:val="both"/>
        <w:rPr>
          <w:rFonts w:eastAsia="Calibri"/>
          <w:b/>
          <w:sz w:val="16"/>
          <w:szCs w:val="16"/>
          <w:u w:val="single"/>
          <w:lang w:eastAsia="en-US"/>
        </w:rPr>
      </w:pPr>
    </w:p>
    <w:p w:rsidR="00A6248A" w:rsidRPr="00A6248A" w:rsidRDefault="00A6248A" w:rsidP="00A6248A">
      <w:pPr>
        <w:pStyle w:val="a3"/>
        <w:ind w:left="0" w:firstLine="284"/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A6248A">
        <w:rPr>
          <w:rFonts w:eastAsia="Calibri"/>
          <w:b/>
          <w:sz w:val="28"/>
          <w:szCs w:val="28"/>
          <w:u w:val="single"/>
          <w:lang w:eastAsia="en-US"/>
        </w:rPr>
        <w:t>Μ</w:t>
      </w:r>
      <w:r w:rsidRPr="00A6248A">
        <w:rPr>
          <w:rFonts w:eastAsia="Calibri"/>
          <w:b/>
          <w:sz w:val="28"/>
          <w:szCs w:val="28"/>
          <w:u w:val="single"/>
          <w:lang w:eastAsia="en-US"/>
        </w:rPr>
        <w:t>ηχανι</w:t>
      </w:r>
      <w:r w:rsidRPr="00A6248A">
        <w:rPr>
          <w:rFonts w:eastAsia="Calibri"/>
          <w:b/>
          <w:sz w:val="28"/>
          <w:szCs w:val="28"/>
          <w:u w:val="single"/>
          <w:lang w:eastAsia="en-US"/>
        </w:rPr>
        <w:softHyphen/>
        <w:t>σμο</w:t>
      </w:r>
      <w:r w:rsidRPr="00A6248A">
        <w:rPr>
          <w:rFonts w:eastAsia="Calibri"/>
          <w:b/>
          <w:sz w:val="28"/>
          <w:szCs w:val="28"/>
          <w:u w:val="single"/>
          <w:lang w:eastAsia="en-US"/>
        </w:rPr>
        <w:t>ί</w:t>
      </w:r>
      <w:r w:rsidRPr="00A6248A">
        <w:rPr>
          <w:rFonts w:eastAsia="Calibri"/>
          <w:b/>
          <w:sz w:val="28"/>
          <w:szCs w:val="28"/>
          <w:u w:val="single"/>
          <w:lang w:eastAsia="en-US"/>
        </w:rPr>
        <w:t xml:space="preserve"> δ</w:t>
      </w:r>
      <w:r>
        <w:rPr>
          <w:rFonts w:eastAsia="Calibri"/>
          <w:b/>
          <w:sz w:val="28"/>
          <w:szCs w:val="28"/>
          <w:u w:val="single"/>
          <w:lang w:eastAsia="en-US"/>
        </w:rPr>
        <w:t>ιαχωρισμού και ρύ</w:t>
      </w:r>
      <w:r w:rsidRPr="00A6248A">
        <w:rPr>
          <w:rFonts w:eastAsia="Calibri"/>
          <w:b/>
          <w:sz w:val="28"/>
          <w:szCs w:val="28"/>
          <w:u w:val="single"/>
          <w:lang w:eastAsia="en-US"/>
        </w:rPr>
        <w:t>θμ</w:t>
      </w:r>
      <w:r>
        <w:rPr>
          <w:rFonts w:eastAsia="Calibri"/>
          <w:b/>
          <w:sz w:val="28"/>
          <w:szCs w:val="28"/>
          <w:u w:val="single"/>
          <w:lang w:eastAsia="en-US"/>
        </w:rPr>
        <w:t>ι</w:t>
      </w:r>
      <w:r w:rsidRPr="00A6248A">
        <w:rPr>
          <w:rFonts w:eastAsia="Calibri"/>
          <w:b/>
          <w:sz w:val="28"/>
          <w:szCs w:val="28"/>
          <w:u w:val="single"/>
          <w:lang w:eastAsia="en-US"/>
        </w:rPr>
        <w:t>σ</w:t>
      </w:r>
      <w:r>
        <w:rPr>
          <w:rFonts w:eastAsia="Calibri"/>
          <w:b/>
          <w:sz w:val="28"/>
          <w:szCs w:val="28"/>
          <w:u w:val="single"/>
          <w:lang w:eastAsia="en-US"/>
        </w:rPr>
        <w:t>η</w:t>
      </w:r>
      <w:r w:rsidRPr="00A6248A">
        <w:rPr>
          <w:rFonts w:eastAsia="Calibri"/>
          <w:b/>
          <w:sz w:val="28"/>
          <w:szCs w:val="28"/>
          <w:u w:val="single"/>
          <w:lang w:eastAsia="en-US"/>
        </w:rPr>
        <w:t>ς των παροχών, καθώς και μηχανι</w:t>
      </w:r>
      <w:r w:rsidRPr="00A6248A">
        <w:rPr>
          <w:rFonts w:eastAsia="Calibri"/>
          <w:b/>
          <w:sz w:val="28"/>
          <w:szCs w:val="28"/>
          <w:u w:val="single"/>
          <w:lang w:eastAsia="en-US"/>
        </w:rPr>
        <w:softHyphen/>
      </w:r>
      <w:r w:rsidRPr="00A6248A">
        <w:rPr>
          <w:rFonts w:eastAsia="Calibri"/>
          <w:b/>
          <w:sz w:val="28"/>
          <w:szCs w:val="28"/>
          <w:u w:val="single"/>
          <w:lang w:eastAsia="en-US"/>
        </w:rPr>
        <w:t>σμοί</w:t>
      </w:r>
      <w:r>
        <w:rPr>
          <w:rFonts w:eastAsia="Calibri"/>
          <w:b/>
          <w:sz w:val="28"/>
          <w:szCs w:val="28"/>
          <w:u w:val="single"/>
          <w:lang w:eastAsia="en-US"/>
        </w:rPr>
        <w:t xml:space="preserve"> ρύ</w:t>
      </w:r>
      <w:r w:rsidRPr="00A6248A">
        <w:rPr>
          <w:rFonts w:eastAsia="Calibri"/>
          <w:b/>
          <w:sz w:val="28"/>
          <w:szCs w:val="28"/>
          <w:u w:val="single"/>
          <w:lang w:eastAsia="en-US"/>
        </w:rPr>
        <w:t>θμ</w:t>
      </w:r>
      <w:r>
        <w:rPr>
          <w:rFonts w:eastAsia="Calibri"/>
          <w:b/>
          <w:sz w:val="28"/>
          <w:szCs w:val="28"/>
          <w:u w:val="single"/>
          <w:lang w:eastAsia="en-US"/>
        </w:rPr>
        <w:t>ι</w:t>
      </w:r>
      <w:r w:rsidRPr="00A6248A">
        <w:rPr>
          <w:rFonts w:eastAsia="Calibri"/>
          <w:b/>
          <w:sz w:val="28"/>
          <w:szCs w:val="28"/>
          <w:u w:val="single"/>
          <w:lang w:eastAsia="en-US"/>
        </w:rPr>
        <w:t>σ</w:t>
      </w:r>
      <w:r>
        <w:rPr>
          <w:rFonts w:eastAsia="Calibri"/>
          <w:b/>
          <w:sz w:val="28"/>
          <w:szCs w:val="28"/>
          <w:u w:val="single"/>
          <w:lang w:eastAsia="en-US"/>
        </w:rPr>
        <w:t>η</w:t>
      </w:r>
      <w:r w:rsidRPr="00A6248A">
        <w:rPr>
          <w:rFonts w:eastAsia="Calibri"/>
          <w:b/>
          <w:sz w:val="28"/>
          <w:szCs w:val="28"/>
          <w:u w:val="single"/>
          <w:lang w:eastAsia="en-US"/>
        </w:rPr>
        <w:t>ς της στάθμης του νερού μέσα στις διώρυγες</w:t>
      </w:r>
      <w:r>
        <w:rPr>
          <w:rFonts w:eastAsia="Calibri"/>
          <w:b/>
          <w:sz w:val="28"/>
          <w:szCs w:val="28"/>
          <w:u w:val="single"/>
          <w:lang w:eastAsia="en-US"/>
        </w:rPr>
        <w:t xml:space="preserve">.  </w:t>
      </w:r>
    </w:p>
    <w:p w:rsidR="00A6248A" w:rsidRPr="00A6248A" w:rsidRDefault="00A6248A" w:rsidP="00A6248A">
      <w:pPr>
        <w:pStyle w:val="a3"/>
        <w:ind w:left="284"/>
        <w:jc w:val="both"/>
        <w:rPr>
          <w:rFonts w:eastAsia="Calibri"/>
          <w:sz w:val="28"/>
          <w:szCs w:val="28"/>
          <w:lang w:eastAsia="en-US"/>
        </w:rPr>
      </w:pPr>
    </w:p>
    <w:p w:rsidR="00A6248A" w:rsidRDefault="00A6248A" w:rsidP="00A6248A">
      <w:pPr>
        <w:pStyle w:val="a3"/>
        <w:numPr>
          <w:ilvl w:val="0"/>
          <w:numId w:val="1"/>
        </w:numPr>
        <w:ind w:left="0" w:firstLine="284"/>
        <w:jc w:val="both"/>
        <w:rPr>
          <w:rFonts w:eastAsia="Calibri"/>
          <w:sz w:val="28"/>
          <w:szCs w:val="28"/>
          <w:lang w:eastAsia="en-US"/>
        </w:rPr>
      </w:pPr>
      <w:r w:rsidRPr="009709A7">
        <w:rPr>
          <w:rFonts w:eastAsia="Calibri"/>
          <w:b/>
          <w:sz w:val="28"/>
          <w:szCs w:val="28"/>
          <w:lang w:eastAsia="en-US"/>
        </w:rPr>
        <w:t>Ρυθμιστές υδροληψίας</w:t>
      </w:r>
      <w:r>
        <w:rPr>
          <w:rFonts w:eastAsia="Calibri"/>
          <w:sz w:val="28"/>
          <w:szCs w:val="28"/>
          <w:lang w:eastAsia="en-US"/>
        </w:rPr>
        <w:t xml:space="preserve"> με ασπίδα για τη λήψη μιας καθορισμένης παροχής προς τροφοδότηση μιας διώρυγας. Το πλεονέκτημα του συστή</w:t>
      </w:r>
      <w:r>
        <w:rPr>
          <w:rFonts w:eastAsia="Calibri"/>
          <w:sz w:val="28"/>
          <w:szCs w:val="28"/>
          <w:lang w:eastAsia="en-US"/>
        </w:rPr>
        <w:softHyphen/>
        <w:t>ματος είναι ότι η παροχή μένει πρακτικά σταθερή για τις συνήθεις διακυ</w:t>
      </w:r>
      <w:r>
        <w:rPr>
          <w:rFonts w:eastAsia="Calibri"/>
          <w:sz w:val="28"/>
          <w:szCs w:val="28"/>
          <w:lang w:eastAsia="en-US"/>
        </w:rPr>
        <w:softHyphen/>
        <w:t>μάνσεις της στάθμης ανάντη της θυρίδας (σχ. 3.2γ). Παραλλαγές ή συν</w:t>
      </w:r>
      <w:r>
        <w:rPr>
          <w:rFonts w:eastAsia="Calibri"/>
          <w:sz w:val="28"/>
          <w:szCs w:val="28"/>
          <w:lang w:eastAsia="en-US"/>
        </w:rPr>
        <w:softHyphen/>
        <w:t>δυασμούς αυτών των ρυθμιστών είναι και οι ρυθμιστές των σχημάτων 3.2δ και 3.2ε.</w:t>
      </w:r>
    </w:p>
    <w:p w:rsidR="00A6248A" w:rsidRDefault="00A6248A" w:rsidP="00A6248A">
      <w:pPr>
        <w:jc w:val="both"/>
        <w:rPr>
          <w:rFonts w:eastAsia="Calibri"/>
          <w:sz w:val="28"/>
          <w:szCs w:val="28"/>
          <w:lang w:eastAsia="en-US"/>
        </w:rPr>
      </w:pPr>
    </w:p>
    <w:p w:rsidR="00A6248A" w:rsidRDefault="00A6248A" w:rsidP="00A6248A">
      <w:pPr>
        <w:jc w:val="center"/>
        <w:rPr>
          <w:rFonts w:eastAsia="Calibri"/>
          <w:sz w:val="28"/>
          <w:szCs w:val="28"/>
          <w:lang w:eastAsia="en-US"/>
        </w:rPr>
      </w:pPr>
      <w:r w:rsidRPr="00BF457D">
        <w:rPr>
          <w:rFonts w:eastAsia="Calibri"/>
          <w:noProof/>
          <w:sz w:val="28"/>
          <w:szCs w:val="28"/>
        </w:rPr>
        <w:drawing>
          <wp:inline distT="0" distB="0" distL="0" distR="0" wp14:anchorId="5C10DB01" wp14:editId="0DAEAE87">
            <wp:extent cx="5088467" cy="5658668"/>
            <wp:effectExtent l="0" t="0" r="0" b="0"/>
            <wp:docPr id="10" name="Εικόνα 10" descr="C:\Users\mlr pre\Desktop\ΑΡΔΕΥΣΕΙΣ\Ρυθμιστές επιφανειακής άρδευση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r pre\Desktop\ΑΡΔΕΥΣΕΙΣ\Ρυθμιστές επιφανειακής άρδευση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152" cy="567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48A" w:rsidRDefault="00A6248A" w:rsidP="00A6248A">
      <w:pPr>
        <w:jc w:val="both"/>
        <w:rPr>
          <w:rFonts w:eastAsia="Calibri"/>
          <w:sz w:val="28"/>
          <w:szCs w:val="28"/>
          <w:lang w:eastAsia="en-US"/>
        </w:rPr>
      </w:pPr>
    </w:p>
    <w:p w:rsidR="00A6248A" w:rsidRPr="00BF457D" w:rsidRDefault="00A6248A" w:rsidP="00A6248A">
      <w:pPr>
        <w:jc w:val="both"/>
        <w:rPr>
          <w:rFonts w:eastAsia="Calibri"/>
          <w:sz w:val="28"/>
          <w:szCs w:val="28"/>
          <w:lang w:eastAsia="en-US"/>
        </w:rPr>
      </w:pPr>
    </w:p>
    <w:p w:rsidR="00A6248A" w:rsidRDefault="00A6248A" w:rsidP="00A6248A">
      <w:pPr>
        <w:pStyle w:val="a3"/>
        <w:numPr>
          <w:ilvl w:val="0"/>
          <w:numId w:val="1"/>
        </w:numPr>
        <w:ind w:left="0" w:firstLine="284"/>
        <w:jc w:val="both"/>
        <w:rPr>
          <w:rFonts w:eastAsia="Calibri"/>
          <w:sz w:val="28"/>
          <w:szCs w:val="28"/>
          <w:lang w:eastAsia="en-US"/>
        </w:rPr>
      </w:pPr>
      <w:r w:rsidRPr="009709A7">
        <w:rPr>
          <w:rFonts w:eastAsia="Calibri"/>
          <w:b/>
          <w:sz w:val="28"/>
          <w:szCs w:val="28"/>
          <w:lang w:eastAsia="en-US"/>
        </w:rPr>
        <w:t>Μεριστές παροχής</w:t>
      </w:r>
      <w:r>
        <w:rPr>
          <w:rFonts w:eastAsia="Calibri"/>
          <w:sz w:val="28"/>
          <w:szCs w:val="28"/>
          <w:lang w:eastAsia="en-US"/>
        </w:rPr>
        <w:t xml:space="preserve"> που ως προορισμό έχουν να διανέμουν την παροχή μιας διώρυγας μεταξύ δύο διωρύγων, ώστε η καθεμιά από αυτές να δέχεται μια ορισμένη αναλογία από την αρχική παροχή (σχ. 3.2στ και 3.2.ζ).</w:t>
      </w:r>
    </w:p>
    <w:p w:rsidR="00A6248A" w:rsidRDefault="00A6248A" w:rsidP="00A6248A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A6248A" w:rsidRPr="00BF457D" w:rsidRDefault="00A6248A" w:rsidP="00A6248A">
      <w:pPr>
        <w:spacing w:after="160" w:line="259" w:lineRule="auto"/>
        <w:jc w:val="center"/>
        <w:rPr>
          <w:rFonts w:eastAsia="Calibri"/>
          <w:i/>
          <w:sz w:val="28"/>
          <w:szCs w:val="28"/>
          <w:lang w:eastAsia="en-US"/>
        </w:rPr>
      </w:pPr>
      <w:r>
        <w:rPr>
          <w:rFonts w:eastAsia="Calibri"/>
          <w:i/>
          <w:sz w:val="28"/>
          <w:szCs w:val="28"/>
          <w:lang w:eastAsia="en-US"/>
        </w:rPr>
        <w:t xml:space="preserve">συνέχεια, </w:t>
      </w:r>
      <w:r w:rsidRPr="00BF457D">
        <w:rPr>
          <w:rFonts w:eastAsia="Calibri"/>
          <w:i/>
          <w:sz w:val="28"/>
          <w:szCs w:val="28"/>
          <w:lang w:eastAsia="en-US"/>
        </w:rPr>
        <w:t>βλέπε επόμενη σελίδα →</w:t>
      </w:r>
    </w:p>
    <w:p w:rsidR="00A6248A" w:rsidRDefault="00A6248A" w:rsidP="00A6248A">
      <w:pPr>
        <w:pStyle w:val="a3"/>
        <w:ind w:left="644"/>
        <w:jc w:val="both"/>
        <w:rPr>
          <w:rFonts w:eastAsia="Calibri"/>
          <w:sz w:val="28"/>
          <w:szCs w:val="28"/>
          <w:lang w:eastAsia="en-US"/>
        </w:rPr>
      </w:pPr>
    </w:p>
    <w:p w:rsidR="00A6248A" w:rsidRDefault="00A6248A" w:rsidP="00A6248A">
      <w:pPr>
        <w:jc w:val="both"/>
        <w:rPr>
          <w:rFonts w:eastAsia="Calibri"/>
          <w:sz w:val="28"/>
          <w:szCs w:val="28"/>
          <w:lang w:eastAsia="en-US"/>
        </w:rPr>
      </w:pPr>
      <w:r w:rsidRPr="00BF457D">
        <w:rPr>
          <w:rFonts w:eastAsia="Calibri"/>
          <w:noProof/>
          <w:sz w:val="28"/>
          <w:szCs w:val="28"/>
        </w:rPr>
        <w:drawing>
          <wp:inline distT="0" distB="0" distL="0" distR="0" wp14:anchorId="016A1982" wp14:editId="5E6146FF">
            <wp:extent cx="5274310" cy="5805535"/>
            <wp:effectExtent l="0" t="0" r="0" b="0"/>
            <wp:docPr id="11" name="Εικόνα 11" descr="C:\Users\mlr pre\Desktop\ΑΡΔΕΥΣΕΙΣ\Άρδευση, επιφανειακή άρδευση, μεριστέ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r pre\Desktop\ΑΡΔΕΥΣΕΙΣ\Άρδευση, επιφανειακή άρδευση, μεριστέ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48A" w:rsidRDefault="00A6248A" w:rsidP="00A6248A">
      <w:pPr>
        <w:jc w:val="both"/>
        <w:rPr>
          <w:rFonts w:eastAsia="Calibri"/>
          <w:sz w:val="28"/>
          <w:szCs w:val="28"/>
          <w:lang w:eastAsia="en-US"/>
        </w:rPr>
      </w:pPr>
    </w:p>
    <w:p w:rsidR="00A6248A" w:rsidRDefault="00A6248A" w:rsidP="00A6248A">
      <w:pPr>
        <w:jc w:val="both"/>
        <w:rPr>
          <w:rFonts w:eastAsia="Calibri"/>
          <w:sz w:val="28"/>
          <w:szCs w:val="28"/>
          <w:lang w:eastAsia="en-US"/>
        </w:rPr>
      </w:pPr>
    </w:p>
    <w:p w:rsidR="00A6248A" w:rsidRDefault="00A6248A" w:rsidP="00A6248A">
      <w:pPr>
        <w:pStyle w:val="a3"/>
        <w:numPr>
          <w:ilvl w:val="0"/>
          <w:numId w:val="1"/>
        </w:numPr>
        <w:ind w:left="0" w:firstLine="284"/>
        <w:jc w:val="both"/>
        <w:rPr>
          <w:rFonts w:eastAsia="Calibri"/>
          <w:sz w:val="28"/>
          <w:szCs w:val="28"/>
          <w:lang w:eastAsia="en-US"/>
        </w:rPr>
      </w:pPr>
      <w:r w:rsidRPr="00BF457D">
        <w:rPr>
          <w:rFonts w:eastAsia="Calibri"/>
          <w:b/>
          <w:sz w:val="28"/>
          <w:szCs w:val="28"/>
          <w:lang w:eastAsia="en-US"/>
        </w:rPr>
        <w:t>Ρυθμιστές στάθμης</w:t>
      </w:r>
      <w:r>
        <w:rPr>
          <w:rFonts w:eastAsia="Calibri"/>
          <w:sz w:val="28"/>
          <w:szCs w:val="28"/>
          <w:lang w:eastAsia="en-US"/>
        </w:rPr>
        <w:t xml:space="preserve"> που ως προορισμό έχουν τη  διατήρηση στα</w:t>
      </w:r>
      <w:r>
        <w:rPr>
          <w:rFonts w:eastAsia="Calibri"/>
          <w:sz w:val="28"/>
          <w:szCs w:val="28"/>
          <w:lang w:eastAsia="en-US"/>
        </w:rPr>
        <w:softHyphen/>
        <w:t xml:space="preserve">θερής στάθμης νερού ανάντη [ρυθμιστής </w:t>
      </w:r>
      <w:r>
        <w:rPr>
          <w:rFonts w:eastAsia="Calibri"/>
          <w:sz w:val="28"/>
          <w:szCs w:val="28"/>
          <w:lang w:val="en-US" w:eastAsia="en-US"/>
        </w:rPr>
        <w:t>Amil</w:t>
      </w:r>
      <w:r w:rsidRPr="00BF457D">
        <w:rPr>
          <w:rFonts w:eastAsia="Calibri"/>
          <w:sz w:val="28"/>
          <w:szCs w:val="28"/>
          <w:lang w:eastAsia="en-US"/>
        </w:rPr>
        <w:t xml:space="preserve">, </w:t>
      </w:r>
      <w:r>
        <w:rPr>
          <w:rFonts w:eastAsia="Calibri"/>
          <w:sz w:val="28"/>
          <w:szCs w:val="28"/>
          <w:lang w:eastAsia="en-US"/>
        </w:rPr>
        <w:t>σχ. 3.2η (α) (β)] ή κατά</w:t>
      </w:r>
      <w:r>
        <w:rPr>
          <w:rFonts w:eastAsia="Calibri"/>
          <w:sz w:val="28"/>
          <w:szCs w:val="28"/>
          <w:lang w:eastAsia="en-US"/>
        </w:rPr>
        <w:softHyphen/>
        <w:t xml:space="preserve">ντη </w:t>
      </w:r>
      <w:r w:rsidRPr="00A6248A">
        <w:rPr>
          <w:rFonts w:eastAsia="Calibri"/>
          <w:sz w:val="28"/>
          <w:szCs w:val="28"/>
          <w:lang w:eastAsia="en-US"/>
        </w:rPr>
        <w:t>[</w:t>
      </w:r>
      <w:r>
        <w:rPr>
          <w:rFonts w:eastAsia="Calibri"/>
          <w:sz w:val="28"/>
          <w:szCs w:val="28"/>
          <w:lang w:eastAsia="en-US"/>
        </w:rPr>
        <w:t xml:space="preserve">ρυθμιστής </w:t>
      </w:r>
      <w:r>
        <w:rPr>
          <w:rFonts w:eastAsia="Calibri"/>
          <w:sz w:val="28"/>
          <w:szCs w:val="28"/>
          <w:lang w:val="en-US" w:eastAsia="en-US"/>
        </w:rPr>
        <w:t>Avis</w:t>
      </w:r>
      <w:r w:rsidRPr="00BF457D">
        <w:rPr>
          <w:rFonts w:eastAsia="Calibri"/>
          <w:sz w:val="28"/>
          <w:szCs w:val="28"/>
          <w:lang w:eastAsia="en-US"/>
        </w:rPr>
        <w:t xml:space="preserve">, </w:t>
      </w:r>
      <w:r>
        <w:rPr>
          <w:rFonts w:eastAsia="Calibri"/>
          <w:sz w:val="28"/>
          <w:szCs w:val="28"/>
          <w:lang w:eastAsia="en-US"/>
        </w:rPr>
        <w:t>σχ. 3.2θ</w:t>
      </w:r>
      <w:r w:rsidRPr="00A6248A">
        <w:rPr>
          <w:rFonts w:eastAsia="Calibri"/>
          <w:sz w:val="28"/>
          <w:szCs w:val="28"/>
          <w:lang w:eastAsia="en-US"/>
        </w:rPr>
        <w:t>]</w:t>
      </w:r>
      <w:r>
        <w:rPr>
          <w:rFonts w:eastAsia="Calibri"/>
          <w:sz w:val="28"/>
          <w:szCs w:val="28"/>
          <w:lang w:eastAsia="en-US"/>
        </w:rPr>
        <w:t xml:space="preserve"> της διώρυγας.</w:t>
      </w:r>
    </w:p>
    <w:p w:rsidR="00A6248A" w:rsidRDefault="00A6248A" w:rsidP="00A6248A">
      <w:pPr>
        <w:pStyle w:val="a3"/>
        <w:ind w:left="284"/>
        <w:jc w:val="both"/>
        <w:rPr>
          <w:rFonts w:eastAsia="Calibri"/>
          <w:b/>
          <w:sz w:val="28"/>
          <w:szCs w:val="28"/>
          <w:lang w:eastAsia="en-US"/>
        </w:rPr>
      </w:pPr>
    </w:p>
    <w:p w:rsidR="00A6248A" w:rsidRPr="001857BC" w:rsidRDefault="00A6248A" w:rsidP="00A6248A">
      <w:pPr>
        <w:pStyle w:val="a3"/>
        <w:ind w:left="0" w:firstLine="284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lastRenderedPageBreak/>
        <w:t xml:space="preserve">Επεξήγηση για τη λειτουργία των ρυθμιστών στάθμης </w:t>
      </w:r>
      <w:r>
        <w:rPr>
          <w:rFonts w:eastAsia="Calibri"/>
          <w:b/>
          <w:sz w:val="28"/>
          <w:szCs w:val="28"/>
          <w:lang w:val="en-US" w:eastAsia="en-US"/>
        </w:rPr>
        <w:t>Amil</w:t>
      </w:r>
      <w:r w:rsidRPr="001857BC"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 xml:space="preserve">και </w:t>
      </w:r>
      <w:r>
        <w:rPr>
          <w:rFonts w:eastAsia="Calibri"/>
          <w:b/>
          <w:sz w:val="28"/>
          <w:szCs w:val="28"/>
          <w:lang w:val="en-US" w:eastAsia="en-US"/>
        </w:rPr>
        <w:t>Avis</w:t>
      </w:r>
    </w:p>
    <w:p w:rsidR="00A6248A" w:rsidRDefault="00A6248A" w:rsidP="00A6248A">
      <w:pPr>
        <w:ind w:firstLine="284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α) Στην περίπτωση του ρυθμιστή </w:t>
      </w:r>
      <w:r>
        <w:rPr>
          <w:rFonts w:eastAsia="Calibri"/>
          <w:sz w:val="28"/>
          <w:szCs w:val="28"/>
          <w:lang w:val="en-US" w:eastAsia="en-US"/>
        </w:rPr>
        <w:t>Amil</w:t>
      </w:r>
      <w:r>
        <w:rPr>
          <w:rFonts w:eastAsia="Calibri"/>
          <w:sz w:val="28"/>
          <w:szCs w:val="28"/>
          <w:lang w:eastAsia="en-US"/>
        </w:rPr>
        <w:t>, αν η ζήτηση του νερού από τη δευτερεύουσα διώρυγα αυξηθεί, τότε η ασπίδα κατεβαίνει με συνέπεια να μειώνεται η παροχή κατά μήκος της κύριας διώρυγας και να ανεβαίνει η στάθμη ανάντη του μηχανισμού στην καθορισμένη τιμή της. Το αντίθετο συμβαίνει αν μειωθεί η ζήτηση. Τότε η στάθμη του νερού τείνει να ανε</w:t>
      </w:r>
      <w:r>
        <w:rPr>
          <w:rFonts w:eastAsia="Calibri"/>
          <w:sz w:val="28"/>
          <w:szCs w:val="28"/>
          <w:lang w:eastAsia="en-US"/>
        </w:rPr>
        <w:softHyphen/>
        <w:t>βεί, αλλά ανεβαίνει και η ασπίδα και έτσι η παροχή κάτω από αυτή αυξά</w:t>
      </w:r>
      <w:r>
        <w:rPr>
          <w:rFonts w:eastAsia="Calibri"/>
          <w:sz w:val="28"/>
          <w:szCs w:val="28"/>
          <w:lang w:eastAsia="en-US"/>
        </w:rPr>
        <w:softHyphen/>
        <w:t>νεται, με αποτέλεσμα πάλι τη διατήρηση της στάθμης σε σταθερή τιμή.</w:t>
      </w:r>
    </w:p>
    <w:p w:rsidR="00A6248A" w:rsidRDefault="00A6248A" w:rsidP="00A6248A">
      <w:pPr>
        <w:jc w:val="both"/>
        <w:rPr>
          <w:rFonts w:eastAsia="Calibri"/>
          <w:sz w:val="28"/>
          <w:szCs w:val="28"/>
          <w:lang w:eastAsia="en-US"/>
        </w:rPr>
      </w:pPr>
    </w:p>
    <w:p w:rsidR="00A6248A" w:rsidRDefault="00A6248A" w:rsidP="00A6248A">
      <w:pPr>
        <w:jc w:val="center"/>
        <w:rPr>
          <w:rFonts w:eastAsia="Calibri"/>
          <w:sz w:val="28"/>
          <w:szCs w:val="28"/>
          <w:lang w:eastAsia="en-US"/>
        </w:rPr>
      </w:pPr>
      <w:r w:rsidRPr="00BF457D">
        <w:rPr>
          <w:rFonts w:eastAsia="Calibri"/>
          <w:noProof/>
          <w:sz w:val="28"/>
          <w:szCs w:val="28"/>
        </w:rPr>
        <w:drawing>
          <wp:inline distT="0" distB="0" distL="0" distR="0" wp14:anchorId="54ED9C5F" wp14:editId="3A94D7DB">
            <wp:extent cx="5003800" cy="6834591"/>
            <wp:effectExtent l="0" t="0" r="6350" b="4445"/>
            <wp:docPr id="12" name="Εικόνα 12" descr="C:\Users\mlr pre\Desktop\ΑΡΔΕΥΣΕΙΣ\Άρδευση, ρυθμιστές Amil και Av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lr pre\Desktop\ΑΡΔΕΥΣΕΙΣ\Άρδευση, ρυθμιστές Amil και Avi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190" cy="683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48A" w:rsidRDefault="00A6248A" w:rsidP="00A6248A">
      <w:pPr>
        <w:ind w:firstLine="284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β) Στην περίπτωση του ρυθμιστή </w:t>
      </w:r>
      <w:r>
        <w:rPr>
          <w:rFonts w:eastAsia="Calibri"/>
          <w:sz w:val="28"/>
          <w:szCs w:val="28"/>
          <w:lang w:val="en-US" w:eastAsia="en-US"/>
        </w:rPr>
        <w:t>Avis</w:t>
      </w:r>
      <w:r>
        <w:rPr>
          <w:rFonts w:eastAsia="Calibri"/>
          <w:sz w:val="28"/>
          <w:szCs w:val="28"/>
          <w:lang w:eastAsia="en-US"/>
        </w:rPr>
        <w:t>, αν η ζήτηση αυξηθεί, τότε ο πλωτήρας κατεβαίνει, ενώ αντίθετα η ασπίδα ανεβαίνει και επιτρέπει το πέρασμα μεγαλύτερης παροχής, με αποτέλεσμα την αποκατάσταση της στάθμης στην καθορισμένη τομή της. Το αντίθετο συμβαίνει αν μειωθεί η ζήτηση. Τότε ανεβαίνει ο πλωτήρας και κατεβαίνει η ασπίδα, με απο</w:t>
      </w:r>
      <w:r>
        <w:rPr>
          <w:rFonts w:eastAsia="Calibri"/>
          <w:sz w:val="28"/>
          <w:szCs w:val="28"/>
          <w:lang w:eastAsia="en-US"/>
        </w:rPr>
        <w:softHyphen/>
        <w:t>τέλεσμα να περιορίζεται ανάλογα η διερχόμενη παροχή.</w:t>
      </w:r>
    </w:p>
    <w:p w:rsidR="00A6248A" w:rsidRDefault="00A6248A" w:rsidP="00A6248A">
      <w:pPr>
        <w:ind w:firstLine="284"/>
        <w:jc w:val="both"/>
        <w:rPr>
          <w:rFonts w:eastAsia="Calibri"/>
          <w:sz w:val="28"/>
          <w:szCs w:val="28"/>
          <w:lang w:eastAsia="en-US"/>
        </w:rPr>
      </w:pPr>
    </w:p>
    <w:p w:rsidR="00A6248A" w:rsidRDefault="00A6248A" w:rsidP="00A6248A">
      <w:pPr>
        <w:ind w:firstLine="284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«Αρδεύσεις, στραγγίσεις και προστασία εδαφών» Παναγιώτου Γ. Κα</w:t>
      </w:r>
      <w:r>
        <w:rPr>
          <w:rFonts w:eastAsia="Calibri"/>
          <w:sz w:val="28"/>
          <w:szCs w:val="28"/>
          <w:lang w:eastAsia="en-US"/>
        </w:rPr>
        <w:softHyphen/>
        <w:t>ρακατσούλη, καθηγητού Γεωργικής Υδραυλικής Ανωτάτης Γεωπονικής Σχολής Αθηνών. Ίδρυμα Ευγενίδου, Αθήνα 1954, σελ. 11</w:t>
      </w:r>
      <w:r>
        <w:rPr>
          <w:rFonts w:eastAsia="Calibri"/>
          <w:sz w:val="28"/>
          <w:szCs w:val="28"/>
          <w:lang w:eastAsia="en-US"/>
        </w:rPr>
        <w:t>5</w:t>
      </w:r>
      <w:bookmarkStart w:id="0" w:name="_GoBack"/>
      <w:bookmarkEnd w:id="0"/>
      <w:r>
        <w:rPr>
          <w:rFonts w:eastAsia="Calibri"/>
          <w:sz w:val="28"/>
          <w:szCs w:val="28"/>
          <w:lang w:eastAsia="en-US"/>
        </w:rPr>
        <w:t>-118.</w:t>
      </w:r>
    </w:p>
    <w:p w:rsidR="00A6248A" w:rsidRDefault="00A6248A" w:rsidP="00A6248A">
      <w:pPr>
        <w:ind w:firstLine="284"/>
        <w:jc w:val="both"/>
        <w:rPr>
          <w:rFonts w:eastAsia="Calibri"/>
          <w:sz w:val="28"/>
          <w:szCs w:val="28"/>
          <w:lang w:eastAsia="en-US"/>
        </w:rPr>
      </w:pPr>
    </w:p>
    <w:p w:rsidR="00A6248A" w:rsidRDefault="00A6248A" w:rsidP="00A6248A">
      <w:pPr>
        <w:ind w:firstLine="284"/>
        <w:jc w:val="both"/>
        <w:rPr>
          <w:rFonts w:eastAsia="Calibri"/>
          <w:sz w:val="28"/>
          <w:szCs w:val="28"/>
          <w:lang w:eastAsia="en-US"/>
        </w:rPr>
      </w:pPr>
    </w:p>
    <w:sectPr w:rsidR="00A6248A" w:rsidSect="00A6248A">
      <w:headerReference w:type="default" r:id="rId10"/>
      <w:pgSz w:w="11906" w:h="16838"/>
      <w:pgMar w:top="1440" w:right="1800" w:bottom="1135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440" w:rsidRDefault="00A06440" w:rsidP="00A6248A">
      <w:r>
        <w:separator/>
      </w:r>
    </w:p>
  </w:endnote>
  <w:endnote w:type="continuationSeparator" w:id="0">
    <w:p w:rsidR="00A06440" w:rsidRDefault="00A06440" w:rsidP="00A62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440" w:rsidRDefault="00A06440" w:rsidP="00A6248A">
      <w:r>
        <w:separator/>
      </w:r>
    </w:p>
  </w:footnote>
  <w:footnote w:type="continuationSeparator" w:id="0">
    <w:p w:rsidR="00A06440" w:rsidRDefault="00A06440" w:rsidP="00A624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0569020"/>
      <w:docPartObj>
        <w:docPartGallery w:val="Page Numbers (Top of Page)"/>
        <w:docPartUnique/>
      </w:docPartObj>
    </w:sdtPr>
    <w:sdtEndPr>
      <w:rPr>
        <w:noProof/>
        <w:sz w:val="22"/>
        <w:szCs w:val="22"/>
      </w:rPr>
    </w:sdtEndPr>
    <w:sdtContent>
      <w:p w:rsidR="00A6248A" w:rsidRPr="00A6248A" w:rsidRDefault="00A6248A">
        <w:pPr>
          <w:pStyle w:val="a4"/>
          <w:jc w:val="center"/>
          <w:rPr>
            <w:sz w:val="22"/>
            <w:szCs w:val="22"/>
          </w:rPr>
        </w:pPr>
        <w:r w:rsidRPr="00A6248A">
          <w:rPr>
            <w:sz w:val="22"/>
            <w:szCs w:val="22"/>
          </w:rPr>
          <w:fldChar w:fldCharType="begin"/>
        </w:r>
        <w:r w:rsidRPr="00A6248A">
          <w:rPr>
            <w:sz w:val="22"/>
            <w:szCs w:val="22"/>
          </w:rPr>
          <w:instrText xml:space="preserve"> PAGE   \* MERGEFORMAT </w:instrText>
        </w:r>
        <w:r w:rsidRPr="00A6248A">
          <w:rPr>
            <w:sz w:val="22"/>
            <w:szCs w:val="22"/>
          </w:rPr>
          <w:fldChar w:fldCharType="separate"/>
        </w:r>
        <w:r>
          <w:rPr>
            <w:noProof/>
            <w:sz w:val="22"/>
            <w:szCs w:val="22"/>
          </w:rPr>
          <w:t>1</w:t>
        </w:r>
        <w:r w:rsidRPr="00A6248A">
          <w:rPr>
            <w:noProof/>
            <w:sz w:val="22"/>
            <w:szCs w:val="22"/>
          </w:rPr>
          <w:fldChar w:fldCharType="end"/>
        </w:r>
      </w:p>
    </w:sdtContent>
  </w:sdt>
  <w:p w:rsidR="00A6248A" w:rsidRDefault="00A6248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F40980"/>
    <w:multiLevelType w:val="hybridMultilevel"/>
    <w:tmpl w:val="ED52ED7C"/>
    <w:lvl w:ilvl="0" w:tplc="AD983D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C34"/>
    <w:rsid w:val="00020B75"/>
    <w:rsid w:val="000C0AB4"/>
    <w:rsid w:val="00280C34"/>
    <w:rsid w:val="0030002B"/>
    <w:rsid w:val="0051626C"/>
    <w:rsid w:val="00596C4F"/>
    <w:rsid w:val="00A06440"/>
    <w:rsid w:val="00A62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701CB2-F2D5-4E6A-83E1-23CDBD9B3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24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248A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A6248A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uiPriority w:val="99"/>
    <w:rsid w:val="00A6248A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5">
    <w:name w:val="footer"/>
    <w:basedOn w:val="a"/>
    <w:link w:val="Char0"/>
    <w:uiPriority w:val="99"/>
    <w:unhideWhenUsed/>
    <w:rsid w:val="00A6248A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uiPriority w:val="99"/>
    <w:rsid w:val="00A6248A"/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A0A0A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328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ΤΟΕΒ Μπόϊδα-Μαυρής</dc:creator>
  <cp:keywords/>
  <dc:description/>
  <cp:lastModifiedBy>ΤΟΕΒ Μπόϊδα-Μαυρής</cp:lastModifiedBy>
  <cp:revision>2</cp:revision>
  <dcterms:created xsi:type="dcterms:W3CDTF">2017-11-22T04:46:00Z</dcterms:created>
  <dcterms:modified xsi:type="dcterms:W3CDTF">2017-11-22T04:54:00Z</dcterms:modified>
</cp:coreProperties>
</file>