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3E" w:rsidRPr="00A16EF5" w:rsidRDefault="00A16EF5" w:rsidP="00A16E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</w:pPr>
      <w:r w:rsidRPr="00A16EF5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Πόροι ΟΕΒ και οικονομικές υποχρεώσεις </w:t>
      </w:r>
      <w:proofErr w:type="spellStart"/>
      <w:r w:rsidRPr="00A16EF5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>ωφελουμένων</w:t>
      </w:r>
      <w:proofErr w:type="spellEnd"/>
    </w:p>
    <w:p w:rsidR="00A16EF5" w:rsidRDefault="00A16EF5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6EF5" w:rsidRDefault="00A16EF5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6EF5" w:rsidRPr="0059633E" w:rsidRDefault="00A16EF5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9633E" w:rsidRPr="0059633E" w:rsidRDefault="0059633E" w:rsidP="005963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Οι οικονομικοί πόροι των ΟΕΒ καθορίζονται από το νομοθετικό πλαίσιο λειτουργίας τους (Άρθρο 15,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</w:rPr>
        <w:t>ν.δ.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 3881/1958) και έχουν τη μορφή στρεμματικών εισφορών (Άρθρο 10 § 2,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</w:rPr>
        <w:t>ν.δ.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 3881/1958) που καθορίζονται βάσει της αρχής της ανταποδοτικότητας ανάμεσα στην ωφέλεια και το κόστος της αντίστοιχης παρεχόμενης υπηρεσίας (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</w:rPr>
        <w:t>αρ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. 5 του από 13-9-59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</w:rPr>
        <w:t>β.δ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9633E" w:rsidRPr="0059633E" w:rsidRDefault="0059633E" w:rsidP="005963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3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9633E" w:rsidRPr="0059633E" w:rsidRDefault="0059633E" w:rsidP="005963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Άρθρο 15 του Ν.Δ. 3881/58</w:t>
      </w:r>
    </w:p>
    <w:p w:rsidR="0059633E" w:rsidRPr="0059633E" w:rsidRDefault="0059633E" w:rsidP="0059633E">
      <w:pPr>
        <w:spacing w:after="120" w:line="240" w:lineRule="auto"/>
        <w:ind w:left="227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Πόροι Ο.Ε.Β.</w:t>
      </w:r>
    </w:p>
    <w:p w:rsidR="0059633E" w:rsidRPr="0059633E" w:rsidRDefault="0059633E" w:rsidP="0059633E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1. Πόροι των Ο.Ε.Β. είναι αι κατά το άρθρ. 10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στρεμματικαί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εισφοραί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τέλη, τα αρδευτικά τέλη ή το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αντίτιμον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χρήσεως αρδευτικού ύδατος, τα κατά την παρ. 1ε΄ του άρθρ. 14 μισθώματα  και δικαιώματα, το προϊόν δανείων του Δημοσίου ή ετέρων πιστωτικών Ιδρυμάτων, ως και παν άλλο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προβλεπόμενον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υπό του Καταστατικού αυτών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έσοδον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9633E" w:rsidRPr="0059633E" w:rsidRDefault="0059633E" w:rsidP="0059633E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2. Αι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στρεμματικαί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εισφοραί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τα τέλη, επιβαλλόμενα υπό των Ο.Ε.Β., εισπράττονται υπό των αρμοδίων οργάνων αυτών απ’ ευθείας ή κατά τα εν άρθρ. 10 παρ. 4 καθοριζόμενα, εν υπερημερία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εφαρμοζομένων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διατάξεων περί εισπράξεως δημοσίων εσόδων.</w:t>
      </w:r>
    </w:p>
    <w:p w:rsidR="0059633E" w:rsidRPr="0059633E" w:rsidRDefault="0059633E" w:rsidP="005963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633E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Άρθρο 10 του Ν.Δ. 3881/58</w:t>
      </w:r>
    </w:p>
    <w:p w:rsidR="0059633E" w:rsidRPr="0059633E" w:rsidRDefault="0059633E" w:rsidP="0059633E">
      <w:pPr>
        <w:spacing w:after="120" w:line="240" w:lineRule="auto"/>
        <w:ind w:left="227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Οικονομικαί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υποχρεώσεις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ωφελουμένων</w:t>
      </w:r>
      <w:proofErr w:type="spellEnd"/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1. Η συμμετοχή των φυσικών ή νομικών προσώπων των οπωσδήποτε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ωφελουμένων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εκ των έργων και τας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δαπάνας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τούτων συνιστάται εις:</w:t>
      </w: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την εξ ιδίων πόρων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καταβολήν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μη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καλυπτομένων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δι’ επιδοτήσεων και δανείων δαπανών κατασκευής των έργων,</w:t>
      </w: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την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καταβολήν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κεκανονισμένων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εισφορών και δόσεων προς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εξόφλησιν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συναφθέντων δια την κατασκευήν των έργων δανείων,</w:t>
      </w: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γ) την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καταβολήν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εξ ολοκλήρου των ετησίων δαπανών λειτουργίας, συντηρήσεως και διοικήσεως των έργων, τηρουμένων και των διατάξεων της παρ. 4 του άρθρ. 6.</w:t>
      </w: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2. Αι κατά την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προηγουμένην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παράγραφον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υποχρεώσεις κατανέμονται κατά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περίπτωσιν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μεταξύ των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ωφελουμένων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άνευ των διατυπώσεων του άρθρ. 46 του από 19/12/1955-22/1/56 Β.Δ/τος «περί κωδικοποιήσεως εις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ενιαίον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κείμενον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των ισχυουσών διατάξεων περί προσόδων των Δήμων και Κοινοτήτων» και καταβάλλονται υπό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μορφήν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στρεμματικών εισφορών ή τελών, ή και υπό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μορφήν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αντιτίμου χρήσεως αρδευτικού ύδατος, εφ’ όσον δια την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τελευταίαν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περίπτωσιν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συντρέχουν ειδικοί λόγοι. Αι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σχετικαί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λεπτομέρειαι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καθορισθήσονται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δια Β.Δ/τος, εκδιδομένου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προτάσει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Υπουργού Γεωργίας, κατόπιν γνωματεύσεως του Κεντρικού Γνωμοδοτικού Συμβουλίου της Υ.Ε.Β.</w:t>
      </w: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3. Η κατανομή και επιβολή των κατά την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προηγουμένην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παράγραφον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υποχρεώσεων ανήκει εις την αρμοδιότητα των Ο.Ε.Β. ή εν ελλείψει, αδυναμία ή δυστροπία τούτων εις την Υ.Ε.Β.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63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63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633E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59633E" w:rsidRPr="0059633E" w:rsidRDefault="0059633E" w:rsidP="0059633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5963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lastRenderedPageBreak/>
        <w:t>Ανταποδοτικότητα των τελών</w:t>
      </w: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9633E" w:rsidRPr="0059633E" w:rsidRDefault="0059633E" w:rsidP="00596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Α. Στην υπ’ αριθμ.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.: 159875/3954/1877/16-6-1977 </w:t>
      </w:r>
      <w:r w:rsidRPr="005963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ΑΠΟΦΑΣΗ του Υπουργού Γεωργίας</w:t>
      </w: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στην Ενότητα Ι.Β.,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. 1.β αναφέρεται το εξής:</w:t>
      </w:r>
    </w:p>
    <w:p w:rsidR="0059633E" w:rsidRPr="0059633E" w:rsidRDefault="0059633E" w:rsidP="005963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Επιβάλλεται στρεμματική εισφορά που περιλαμβάνει:</w:t>
      </w:r>
    </w:p>
    <w:p w:rsidR="0059633E" w:rsidRPr="0059633E" w:rsidRDefault="0059633E" w:rsidP="0059633E">
      <w:pPr>
        <w:spacing w:after="0" w:line="240" w:lineRule="auto"/>
        <w:ind w:left="900" w:hanging="25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β. Τις δαπάνες διοικήσεως, λειτουργίας και συντηρήσεως των αρδευτικών δικτύων, που κατανέμονται σ’ ολόκληρη την έκταση η οποία μπορεί να </w:t>
      </w:r>
      <w:proofErr w:type="spellStart"/>
      <w:r w:rsidRPr="005963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αρδευθεί</w:t>
      </w:r>
      <w:proofErr w:type="spellEnd"/>
      <w:r w:rsidRPr="0059633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(αρδεύσιμη) απ’ αυτά, ανεξάρτητα από το αν ο παραγωγός αρδεύει ή όχι τον αγρό του</w:t>
      </w: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59633E" w:rsidRPr="0059633E" w:rsidRDefault="0059633E" w:rsidP="00596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Ανεξάρτητα, δηλαδή, αν ποτίζει ή όχι κάποιος που το αγρόκτημά του βρίσκεται μέσα στην αρδεύσιμη έκταση πληρώνει τέλη.</w:t>
      </w:r>
    </w:p>
    <w:p w:rsidR="0059633E" w:rsidRPr="0059633E" w:rsidRDefault="0059633E" w:rsidP="00596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59633E" w:rsidRPr="0059633E" w:rsidRDefault="0059633E" w:rsidP="00596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Β. Στο </w:t>
      </w:r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άρθρο 35, </w:t>
      </w:r>
      <w:proofErr w:type="spellStart"/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παράγρ</w:t>
      </w:r>
      <w:proofErr w:type="spellEnd"/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. 2 του ισχύοντος Καταστατικού μας</w:t>
      </w: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, αναφέρεται:</w:t>
      </w:r>
    </w:p>
    <w:p w:rsidR="0059633E" w:rsidRPr="0059633E" w:rsidRDefault="0059633E" w:rsidP="00596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1. Η συμμετοχή κάθε μέλους στις δαπάνες του Οργανισμού κανονί</w:t>
      </w:r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  <w:t>ζεται με εισφορές ή τέλη που επιβάλλονται από τη Γενική Συνέλευση, ανάλογα με την ωφέλεια που προέκυψε στην γεωργική έκταση που κατέ</w:t>
      </w:r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  <w:t>χει αυτός και από τις επιβαρύνσεις των έργων που εξυπηρετούνται από την ωφέλεια αυτή.</w:t>
      </w:r>
    </w:p>
    <w:p w:rsidR="0059633E" w:rsidRPr="0059633E" w:rsidRDefault="0059633E" w:rsidP="00596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2. Το ποσό, ο χρόνος και ο τρόπος της πληρωμής των εισφορών ή τε</w:t>
      </w:r>
      <w:r w:rsidRPr="0059633E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  <w:t>λών καθορίζονται με απόφαση της Γενικής Συνελεύσεως</w:t>
      </w:r>
      <w:r w:rsidRPr="0059633E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633E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Άρθρο 10, παράγραφος 1, εδάφιο γ), του Ν. 3881/1958.</w:t>
      </w: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Άρθρο 1</w:t>
      </w: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Οικονομικαί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υποχρεώσεις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ωφελουμένων</w:t>
      </w:r>
      <w:proofErr w:type="spellEnd"/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Η συμμετοχή των φυσικών ή νομικών προσώπων των οπωσδήποτε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εκ των έργων εις τας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δαπάνας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τούτων συνίσταται εις:</w:t>
      </w:r>
    </w:p>
    <w:p w:rsidR="0059633E" w:rsidRPr="0059633E" w:rsidRDefault="0059633E" w:rsidP="0059633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α) …</w:t>
      </w:r>
    </w:p>
    <w:p w:rsidR="0059633E" w:rsidRPr="0059633E" w:rsidRDefault="0059633E" w:rsidP="0059633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β) …..</w:t>
      </w:r>
    </w:p>
    <w:p w:rsidR="0059633E" w:rsidRPr="0059633E" w:rsidRDefault="0059633E" w:rsidP="005963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γ) </w:t>
      </w:r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την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καταβολήν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εξ ολοκλήρου των ετησίων δαπανών λειτουργίας, συντηρήσεως και διοικήσεως των έργων, τηρουμένων και των διατάξεων της παραγράφου 4 του άρθρου 6</w:t>
      </w: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59633E" w:rsidRPr="0059633E" w:rsidRDefault="0059633E" w:rsidP="0059633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Αι κατά την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προηγουμένην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παράγραφον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υποχρεώσεις κατανέμονται κατά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περίπτωσιν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μεταξύ των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ωφελουμένων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άνευ των διατυπώσεων του άρθρου 46 του από 19/12/1955-22/1/56 Β.Δ/τος «περί κωδικοποιήσεως εις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ενιαίον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κείμενον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των ισχυουσών διατάξεων περί προσόδων των Δήμων και Κοινοτήτων» </w:t>
      </w:r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και καταβάλλονται υπό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μορφήν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στρεμματικών εισφορών ή τελών</w:t>
      </w: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ή και υπό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μορφήν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αντιτίμου χρήσεως αρδευτικού ύδατος, εφ’ όσον δια την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τελευταίαν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περίπτωσιν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συντρέχουν ειδικοί λόγοι.</w:t>
      </w:r>
    </w:p>
    <w:p w:rsidR="0059633E" w:rsidRPr="0059633E" w:rsidRDefault="0059633E" w:rsidP="00596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Η κατανομή και επιβολή των κατά την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προηγουμένην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παράγραφον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υποχρεώσεων ανήκει εις την αρμοδιότητα των Ο.Ε.Β</w:t>
      </w: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. ή εν ελλείψει, αδυναμία ή δυστροπία τούτων εις την Υ.Ε.Β.</w:t>
      </w:r>
    </w:p>
    <w:p w:rsidR="0059633E" w:rsidRPr="0059633E" w:rsidRDefault="0059633E" w:rsidP="00596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Άρθρο 6, παράγραφος 4, του Ν. 3881/1958.</w:t>
      </w: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Άρθρο 6</w:t>
      </w:r>
    </w:p>
    <w:p w:rsid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Αρμοδιότης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και ευθύνη </w:t>
      </w:r>
    </w:p>
    <w:p w:rsidR="0059633E" w:rsidRPr="0059633E" w:rsidRDefault="0059633E" w:rsidP="00596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εκτελέσεως, συντηρήσεως και λειτουργίας των έργων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Αι μετά την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λήξιν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του σταδίου κατασκευής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δαπάναι</w:t>
      </w:r>
      <w:proofErr w:type="spellEnd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λειτουργίας, συντηρήσεως και διοικήσεως των έργων ή αυτοτελών τμημάτων αυτών βαρύνουν εξ ολοκλήρου τους </w:t>
      </w:r>
      <w:proofErr w:type="spellStart"/>
      <w:r w:rsidRPr="005963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ωφελουμένους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εν ελλείψει δε επαρκείας των σχετικών πόρων αι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συντηρήσεως και λειτουργίας των έργων Α΄ και Β΄ τάξεως κατά την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περίοδον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αναπτύξεως της περιοχής δύνανται δι’ αποφάσεως του Υπουργού Γεωργίας, μετά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γνώμην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του κεντρικού Γνωμοδοτικού Συμβουλίου Εγγειοβελτιωτικών Έργων, να καταβληθούν παρά του κράτους και να ενσωματωθο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ύ</w:t>
      </w: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ν εν μέρει ή εν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όλω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εις τας </w:t>
      </w:r>
      <w:proofErr w:type="spellStart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δαπάνας</w:t>
      </w:r>
      <w:proofErr w:type="spellEnd"/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κατασκευής των έργων.</w:t>
      </w: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633E" w:rsidRPr="0059633E" w:rsidRDefault="0059633E" w:rsidP="005963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633E">
        <w:rPr>
          <w:rFonts w:ascii="Times New Roman" w:eastAsia="Calibri" w:hAnsi="Times New Roman" w:cs="Times New Roman"/>
          <w:sz w:val="28"/>
          <w:szCs w:val="28"/>
          <w:lang w:eastAsia="zh-CN"/>
        </w:rPr>
        <w:t>***********************************************************</w:t>
      </w:r>
      <w:bookmarkStart w:id="0" w:name="_GoBack"/>
      <w:bookmarkEnd w:id="0"/>
    </w:p>
    <w:sectPr w:rsidR="0059633E" w:rsidRPr="0059633E" w:rsidSect="0059633E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74" w:rsidRDefault="000F2C74" w:rsidP="00A874D3">
      <w:pPr>
        <w:spacing w:after="0" w:line="240" w:lineRule="auto"/>
      </w:pPr>
      <w:r>
        <w:separator/>
      </w:r>
    </w:p>
  </w:endnote>
  <w:endnote w:type="continuationSeparator" w:id="0">
    <w:p w:rsidR="000F2C74" w:rsidRDefault="000F2C74" w:rsidP="00A8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74" w:rsidRDefault="000F2C74" w:rsidP="00A874D3">
      <w:pPr>
        <w:spacing w:after="0" w:line="240" w:lineRule="auto"/>
      </w:pPr>
      <w:r>
        <w:separator/>
      </w:r>
    </w:p>
  </w:footnote>
  <w:footnote w:type="continuationSeparator" w:id="0">
    <w:p w:rsidR="000F2C74" w:rsidRDefault="000F2C74" w:rsidP="00A8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1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74D3" w:rsidRDefault="00A874D3">
        <w:pPr>
          <w:pStyle w:val="a5"/>
          <w:jc w:val="center"/>
        </w:pPr>
        <w:r w:rsidRPr="00A874D3">
          <w:rPr>
            <w:rFonts w:ascii="Times New Roman" w:hAnsi="Times New Roman" w:cs="Times New Roman"/>
          </w:rPr>
          <w:fldChar w:fldCharType="begin"/>
        </w:r>
        <w:r w:rsidRPr="00A874D3">
          <w:rPr>
            <w:rFonts w:ascii="Times New Roman" w:hAnsi="Times New Roman" w:cs="Times New Roman"/>
          </w:rPr>
          <w:instrText xml:space="preserve"> PAGE   \* MERGEFORMAT </w:instrText>
        </w:r>
        <w:r w:rsidRPr="00A874D3">
          <w:rPr>
            <w:rFonts w:ascii="Times New Roman" w:hAnsi="Times New Roman" w:cs="Times New Roman"/>
          </w:rPr>
          <w:fldChar w:fldCharType="separate"/>
        </w:r>
        <w:r w:rsidR="00B86648">
          <w:rPr>
            <w:rFonts w:ascii="Times New Roman" w:hAnsi="Times New Roman" w:cs="Times New Roman"/>
            <w:noProof/>
          </w:rPr>
          <w:t>4</w:t>
        </w:r>
        <w:r w:rsidRPr="00A874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74D3" w:rsidRDefault="00A874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03E3"/>
    <w:multiLevelType w:val="hybridMultilevel"/>
    <w:tmpl w:val="3620E54C"/>
    <w:lvl w:ilvl="0" w:tplc="42B23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0057EE"/>
    <w:multiLevelType w:val="hybridMultilevel"/>
    <w:tmpl w:val="DE0AC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C6"/>
    <w:rsid w:val="000F2C74"/>
    <w:rsid w:val="001B63EB"/>
    <w:rsid w:val="002A5A73"/>
    <w:rsid w:val="0059633E"/>
    <w:rsid w:val="006B6CF8"/>
    <w:rsid w:val="00864749"/>
    <w:rsid w:val="00997DB4"/>
    <w:rsid w:val="00A16EF5"/>
    <w:rsid w:val="00A874D3"/>
    <w:rsid w:val="00B86648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E3AE-F746-4648-ADDD-B3C46561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F5"/>
    <w:pPr>
      <w:ind w:left="720"/>
      <w:contextualSpacing/>
    </w:pPr>
  </w:style>
  <w:style w:type="paragraph" w:styleId="a4">
    <w:name w:val="No Spacing"/>
    <w:uiPriority w:val="1"/>
    <w:qFormat/>
    <w:rsid w:val="00864749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A87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874D3"/>
  </w:style>
  <w:style w:type="paragraph" w:styleId="a6">
    <w:name w:val="footer"/>
    <w:basedOn w:val="a"/>
    <w:link w:val="Char0"/>
    <w:uiPriority w:val="99"/>
    <w:unhideWhenUsed/>
    <w:rsid w:val="00A87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8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2015-03-19T06:10:00Z</dcterms:created>
  <dcterms:modified xsi:type="dcterms:W3CDTF">2015-03-19T06:55:00Z</dcterms:modified>
</cp:coreProperties>
</file>