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67" w:rsidRDefault="00334167">
      <w:pPr>
        <w:rPr>
          <w:lang w:val="en-US"/>
        </w:rPr>
      </w:pPr>
    </w:p>
    <w:p w:rsidR="00334167" w:rsidRPr="00334167" w:rsidRDefault="00334167" w:rsidP="00334167">
      <w:pPr>
        <w:jc w:val="center"/>
        <w:rPr>
          <w:b/>
          <w:sz w:val="36"/>
          <w:szCs w:val="36"/>
          <w:u w:val="single"/>
        </w:rPr>
      </w:pPr>
      <w:r w:rsidRPr="00334167">
        <w:rPr>
          <w:b/>
          <w:sz w:val="36"/>
          <w:szCs w:val="36"/>
          <w:u w:val="single"/>
        </w:rPr>
        <w:t>Κυρώσεις</w:t>
      </w:r>
    </w:p>
    <w:p w:rsidR="00334167" w:rsidRPr="00334167" w:rsidRDefault="00334167">
      <w:pPr>
        <w:rPr>
          <w:sz w:val="28"/>
          <w:szCs w:val="28"/>
        </w:rPr>
      </w:pPr>
    </w:p>
    <w:p w:rsidR="00334167" w:rsidRPr="00334167" w:rsidRDefault="00334167">
      <w:pPr>
        <w:rPr>
          <w:sz w:val="28"/>
          <w:szCs w:val="28"/>
        </w:rPr>
      </w:pPr>
      <w:r w:rsidRPr="00334167">
        <w:rPr>
          <w:sz w:val="28"/>
          <w:szCs w:val="28"/>
        </w:rPr>
        <w:t xml:space="preserve">Κυρώσεις μπορούν να </w:t>
      </w:r>
      <w:r>
        <w:rPr>
          <w:sz w:val="28"/>
          <w:szCs w:val="28"/>
        </w:rPr>
        <w:t>ε</w:t>
      </w:r>
      <w:r w:rsidRPr="00334167">
        <w:rPr>
          <w:sz w:val="28"/>
          <w:szCs w:val="28"/>
        </w:rPr>
        <w:t xml:space="preserve">πιβληθούν σε εργαζομένους αλλά και </w:t>
      </w:r>
      <w:r>
        <w:rPr>
          <w:sz w:val="28"/>
          <w:szCs w:val="28"/>
        </w:rPr>
        <w:t>στα μέλη-χρή</w:t>
      </w:r>
      <w:r w:rsidRPr="00334167">
        <w:rPr>
          <w:sz w:val="28"/>
          <w:szCs w:val="28"/>
        </w:rPr>
        <w:t>σ</w:t>
      </w:r>
      <w:r>
        <w:rPr>
          <w:sz w:val="28"/>
          <w:szCs w:val="28"/>
        </w:rPr>
        <w:t>τ</w:t>
      </w:r>
      <w:r w:rsidRPr="00334167">
        <w:rPr>
          <w:sz w:val="28"/>
          <w:szCs w:val="28"/>
        </w:rPr>
        <w:t>ες των ΟΕΒ.</w:t>
      </w:r>
    </w:p>
    <w:p w:rsidR="00334167" w:rsidRPr="00334167" w:rsidRDefault="00334167">
      <w:pPr>
        <w:rPr>
          <w:sz w:val="28"/>
          <w:szCs w:val="28"/>
        </w:rPr>
      </w:pPr>
      <w:r w:rsidRPr="00334167">
        <w:rPr>
          <w:sz w:val="28"/>
          <w:szCs w:val="28"/>
        </w:rPr>
        <w:t>Ας δούμε παρακάτω παραδείγματα:</w:t>
      </w:r>
    </w:p>
    <w:p w:rsidR="00334167" w:rsidRDefault="00334167">
      <w:pPr>
        <w:rPr>
          <w:sz w:val="28"/>
          <w:szCs w:val="28"/>
        </w:rPr>
      </w:pPr>
    </w:p>
    <w:p w:rsidR="00334167" w:rsidRDefault="00334167">
      <w:pPr>
        <w:rPr>
          <w:sz w:val="28"/>
          <w:szCs w:val="28"/>
        </w:rPr>
      </w:pPr>
    </w:p>
    <w:p w:rsidR="002337A0" w:rsidRPr="00334167" w:rsidRDefault="00334167">
      <w:pPr>
        <w:rPr>
          <w:sz w:val="28"/>
          <w:szCs w:val="28"/>
        </w:rPr>
      </w:pPr>
      <w:r w:rsidRPr="00334167">
        <w:rPr>
          <w:sz w:val="28"/>
          <w:szCs w:val="28"/>
        </w:rPr>
        <w:t>***********************************************************</w:t>
      </w:r>
    </w:p>
    <w:p w:rsidR="00334167" w:rsidRDefault="00334167" w:rsidP="00936798">
      <w:pPr>
        <w:ind w:firstLine="284"/>
        <w:jc w:val="both"/>
        <w:rPr>
          <w:b/>
          <w:sz w:val="28"/>
          <w:szCs w:val="28"/>
          <w:u w:val="single"/>
        </w:rPr>
      </w:pPr>
    </w:p>
    <w:p w:rsidR="00936798" w:rsidRPr="00936798" w:rsidRDefault="00936798" w:rsidP="00334167">
      <w:pPr>
        <w:jc w:val="both"/>
        <w:rPr>
          <w:b/>
          <w:sz w:val="28"/>
          <w:szCs w:val="28"/>
          <w:u w:val="single"/>
        </w:rPr>
      </w:pPr>
      <w:r w:rsidRPr="00936798">
        <w:rPr>
          <w:b/>
          <w:sz w:val="28"/>
          <w:szCs w:val="28"/>
          <w:u w:val="single"/>
        </w:rPr>
        <w:t>Κυρώσεις</w:t>
      </w:r>
      <w:r w:rsidR="00334167">
        <w:rPr>
          <w:b/>
          <w:sz w:val="28"/>
          <w:szCs w:val="28"/>
          <w:u w:val="single"/>
        </w:rPr>
        <w:t xml:space="preserve"> σε εργαζόμενους:</w:t>
      </w:r>
    </w:p>
    <w:p w:rsidR="00936798" w:rsidRPr="008C0B3A" w:rsidRDefault="00936798" w:rsidP="00936798">
      <w:pPr>
        <w:ind w:firstLine="284"/>
        <w:jc w:val="both"/>
        <w:rPr>
          <w:sz w:val="28"/>
          <w:szCs w:val="28"/>
        </w:rPr>
      </w:pPr>
    </w:p>
    <w:p w:rsidR="001B3ADF" w:rsidRDefault="001B3ADF" w:rsidP="00936798">
      <w:pPr>
        <w:ind w:firstLine="284"/>
        <w:jc w:val="both"/>
        <w:rPr>
          <w:sz w:val="28"/>
          <w:szCs w:val="28"/>
        </w:rPr>
      </w:pPr>
      <w:r w:rsidRPr="00936798">
        <w:rPr>
          <w:sz w:val="28"/>
          <w:szCs w:val="28"/>
        </w:rPr>
        <w:t>Για το δημόσιο τομέα, τα ΝΠΔΔ, τους ΟΤΑ και τον ευρύτερο τομέα, οι διατάξεις της παρ. 6 του άρθρου 1 του ν. 1256/1982 (α΄65) επιβάλλο</w:t>
      </w:r>
      <w:r w:rsidR="00887468">
        <w:rPr>
          <w:sz w:val="28"/>
          <w:szCs w:val="28"/>
        </w:rPr>
        <w:t>υν</w:t>
      </w:r>
      <w:r w:rsidRPr="00936798">
        <w:rPr>
          <w:sz w:val="28"/>
          <w:szCs w:val="28"/>
        </w:rPr>
        <w:t xml:space="preserve"> πειθαρχικές και διοικητικές κυρώσεις.</w:t>
      </w:r>
    </w:p>
    <w:p w:rsidR="008C0B3A" w:rsidRDefault="008C0B3A" w:rsidP="00936798">
      <w:pPr>
        <w:ind w:firstLine="284"/>
        <w:jc w:val="both"/>
        <w:rPr>
          <w:sz w:val="28"/>
          <w:szCs w:val="28"/>
        </w:rPr>
      </w:pPr>
    </w:p>
    <w:p w:rsidR="008C0B3A" w:rsidRDefault="008C0B3A" w:rsidP="00936798">
      <w:pPr>
        <w:ind w:firstLine="284"/>
        <w:jc w:val="both"/>
        <w:rPr>
          <w:sz w:val="28"/>
          <w:szCs w:val="28"/>
        </w:rPr>
      </w:pPr>
    </w:p>
    <w:p w:rsidR="008C0B3A" w:rsidRDefault="008C0B3A" w:rsidP="00936798">
      <w:pPr>
        <w:ind w:firstLine="284"/>
        <w:jc w:val="both"/>
        <w:rPr>
          <w:sz w:val="28"/>
          <w:szCs w:val="28"/>
        </w:rPr>
      </w:pPr>
    </w:p>
    <w:p w:rsidR="008C0B3A" w:rsidRDefault="008C0B3A" w:rsidP="00936798">
      <w:pPr>
        <w:ind w:firstLine="284"/>
        <w:jc w:val="both"/>
        <w:rPr>
          <w:sz w:val="28"/>
          <w:szCs w:val="28"/>
        </w:rPr>
      </w:pPr>
      <w:r>
        <w:rPr>
          <w:sz w:val="28"/>
          <w:szCs w:val="28"/>
        </w:rPr>
        <w:t>Παράδειγμα: Κυρώσεις για μη ένταξη στην Ενιαία Αρχή Πληρωμής:</w:t>
      </w:r>
    </w:p>
    <w:p w:rsidR="008C0B3A" w:rsidRDefault="008C0B3A" w:rsidP="00936798">
      <w:pPr>
        <w:ind w:firstLine="284"/>
        <w:jc w:val="both"/>
        <w:rPr>
          <w:sz w:val="28"/>
          <w:szCs w:val="28"/>
        </w:rPr>
      </w:pPr>
    </w:p>
    <w:p w:rsidR="008C0B3A" w:rsidRPr="00DA36DA" w:rsidRDefault="008C0B3A" w:rsidP="008C0B3A">
      <w:pPr>
        <w:autoSpaceDE w:val="0"/>
        <w:autoSpaceDN w:val="0"/>
        <w:adjustRightInd w:val="0"/>
        <w:ind w:firstLine="284"/>
        <w:jc w:val="both"/>
        <w:rPr>
          <w:rFonts w:eastAsia="Calibri"/>
          <w:sz w:val="28"/>
          <w:szCs w:val="28"/>
          <w:lang w:eastAsia="en-US"/>
        </w:rPr>
      </w:pPr>
      <w:r>
        <w:rPr>
          <w:rFonts w:eastAsia="Calibri"/>
          <w:sz w:val="28"/>
          <w:szCs w:val="28"/>
          <w:lang w:eastAsia="en-US"/>
        </w:rPr>
        <w:t>«</w:t>
      </w:r>
      <w:r w:rsidRPr="00DA36DA">
        <w:rPr>
          <w:rFonts w:eastAsia="Calibri"/>
          <w:sz w:val="28"/>
          <w:szCs w:val="28"/>
          <w:lang w:eastAsia="en-US"/>
        </w:rPr>
        <w:t>i) ως προς τα φυσικά πρόσωπα: Οι υπάλληλοι και οι δημόσιοι λει</w:t>
      </w:r>
      <w:r w:rsidR="00937CF5">
        <w:rPr>
          <w:rFonts w:eastAsia="Calibri"/>
          <w:sz w:val="28"/>
          <w:szCs w:val="28"/>
          <w:lang w:eastAsia="en-US"/>
        </w:rPr>
        <w:softHyphen/>
      </w:r>
      <w:r w:rsidRPr="00DA36DA">
        <w:rPr>
          <w:rFonts w:eastAsia="Calibri"/>
          <w:sz w:val="28"/>
          <w:szCs w:val="28"/>
          <w:lang w:eastAsia="en-US"/>
        </w:rPr>
        <w:t>τουργοί που εμπλέκονται στις πληρωμές εκτός ΕΑΠ θα αντιμετωπίζουν τις κυρώσεις που προβλέπονται στις διατάξεις των άρθρων 256 ΠΚ (Απιστία σχετικά με την Υπηρεσία), 259 ΠΚ (Παράβαση καθήκοντος) και 261 ΠΚ (Παρότρυνση υφισταμένων και ανοχή).</w:t>
      </w:r>
    </w:p>
    <w:p w:rsidR="008C0B3A" w:rsidRPr="00DA36DA" w:rsidRDefault="008C0B3A" w:rsidP="008C0B3A">
      <w:pPr>
        <w:autoSpaceDE w:val="0"/>
        <w:autoSpaceDN w:val="0"/>
        <w:adjustRightInd w:val="0"/>
        <w:ind w:firstLine="284"/>
        <w:jc w:val="both"/>
        <w:rPr>
          <w:rFonts w:eastAsia="Calibri"/>
          <w:sz w:val="28"/>
          <w:szCs w:val="28"/>
          <w:lang w:eastAsia="en-US"/>
        </w:rPr>
      </w:pPr>
      <w:r w:rsidRPr="00DA36DA">
        <w:rPr>
          <w:rFonts w:eastAsia="Calibri"/>
          <w:sz w:val="28"/>
          <w:szCs w:val="28"/>
          <w:lang w:eastAsia="en-US"/>
        </w:rPr>
        <w:t>ii) ως προς τα νομικά πρόσωπα και για όσο διάστημα παρατηρείται παρέκκλιση από τη διαδικασία πληρωμής μέσω ΕΑΠ επιβάλλεται ανα</w:t>
      </w:r>
      <w:r w:rsidR="00937CF5">
        <w:rPr>
          <w:rFonts w:eastAsia="Calibri"/>
          <w:sz w:val="28"/>
          <w:szCs w:val="28"/>
          <w:lang w:eastAsia="en-US"/>
        </w:rPr>
        <w:softHyphen/>
      </w:r>
      <w:r w:rsidRPr="00DA36DA">
        <w:rPr>
          <w:rFonts w:eastAsia="Calibri"/>
          <w:sz w:val="28"/>
          <w:szCs w:val="28"/>
          <w:lang w:eastAsia="en-US"/>
        </w:rPr>
        <w:t>στολή καταβολής της μισθοδοσίας του προσωπικού του φορέα ή και πα</w:t>
      </w:r>
      <w:r w:rsidR="00937CF5">
        <w:rPr>
          <w:rFonts w:eastAsia="Calibri"/>
          <w:sz w:val="28"/>
          <w:szCs w:val="28"/>
          <w:lang w:eastAsia="en-US"/>
        </w:rPr>
        <w:softHyphen/>
      </w:r>
      <w:r w:rsidRPr="00DA36DA">
        <w:rPr>
          <w:rFonts w:eastAsia="Calibri"/>
          <w:sz w:val="28"/>
          <w:szCs w:val="28"/>
          <w:lang w:eastAsia="en-US"/>
        </w:rPr>
        <w:t>ρακράτηση του σχετικού ποσοστού όπως αυτό εξειδικεύεται από την ισχύουσα νομοθεσία με απόδοσή του ως δημόσιο έσοδο. Επιπροσθέτως, στην περίπτωση των ΟΤΑ, επέρχεται παρακράτηση μέρους ή συνόλου από το ποσό των δικαιούμενων πόρων (ΚΑΠ – επιχορηγήσεις) καθώς και αναστολή εγκρίσεων πρόσληψης προσωπικού με συμβάσεις μίσθωσης έργου και Ιδιωτικού Δικαίου Ορισμένου Χρόνου».</w:t>
      </w:r>
    </w:p>
    <w:p w:rsidR="008C0B3A" w:rsidRDefault="008C0B3A" w:rsidP="00936798">
      <w:pPr>
        <w:ind w:firstLine="284"/>
        <w:jc w:val="both"/>
        <w:rPr>
          <w:rFonts w:eastAsia="Calibri"/>
          <w:sz w:val="28"/>
          <w:szCs w:val="28"/>
          <w:lang w:eastAsia="en-US"/>
        </w:rPr>
      </w:pPr>
      <w:r w:rsidRPr="00DA36DA">
        <w:rPr>
          <w:rFonts w:eastAsia="Calibri"/>
          <w:sz w:val="28"/>
          <w:szCs w:val="28"/>
          <w:lang w:eastAsia="en-US"/>
        </w:rPr>
        <w:t>άρθρο 3 του ν. 4111/25-01-2013 (ΦΕΚ 18/Α</w:t>
      </w:r>
      <w:r>
        <w:rPr>
          <w:rFonts w:eastAsia="Calibri"/>
          <w:sz w:val="28"/>
          <w:szCs w:val="28"/>
          <w:lang w:eastAsia="en-US"/>
        </w:rPr>
        <w:t>΄/2013).</w:t>
      </w:r>
    </w:p>
    <w:p w:rsidR="008C0B3A" w:rsidRDefault="008C0B3A" w:rsidP="00936798">
      <w:pPr>
        <w:ind w:firstLine="284"/>
        <w:jc w:val="both"/>
        <w:rPr>
          <w:rFonts w:eastAsia="Calibri"/>
          <w:sz w:val="28"/>
          <w:szCs w:val="28"/>
          <w:lang w:eastAsia="en-US"/>
        </w:rPr>
      </w:pPr>
    </w:p>
    <w:p w:rsidR="008C0B3A" w:rsidRDefault="008C0B3A" w:rsidP="00936798">
      <w:pPr>
        <w:ind w:firstLine="284"/>
        <w:jc w:val="both"/>
        <w:rPr>
          <w:rFonts w:eastAsia="Calibri"/>
          <w:sz w:val="28"/>
          <w:szCs w:val="28"/>
          <w:lang w:eastAsia="en-US"/>
        </w:rPr>
      </w:pPr>
    </w:p>
    <w:p w:rsidR="008C0B3A" w:rsidRPr="008C0B3A" w:rsidRDefault="008C0B3A" w:rsidP="00936798">
      <w:pPr>
        <w:ind w:firstLine="284"/>
        <w:jc w:val="both"/>
        <w:rPr>
          <w:sz w:val="28"/>
          <w:szCs w:val="28"/>
        </w:rPr>
      </w:pPr>
      <w:r>
        <w:rPr>
          <w:sz w:val="28"/>
          <w:szCs w:val="28"/>
        </w:rPr>
        <w:br/>
      </w:r>
    </w:p>
    <w:p w:rsidR="00334167" w:rsidRPr="00334167" w:rsidRDefault="00334167" w:rsidP="00334167">
      <w:pPr>
        <w:rPr>
          <w:sz w:val="28"/>
          <w:szCs w:val="28"/>
        </w:rPr>
      </w:pPr>
      <w:r w:rsidRPr="00334167">
        <w:rPr>
          <w:sz w:val="28"/>
          <w:szCs w:val="28"/>
        </w:rPr>
        <w:t>***********************************************************</w:t>
      </w:r>
    </w:p>
    <w:p w:rsidR="004775DC" w:rsidRPr="00936798" w:rsidRDefault="004775DC" w:rsidP="00936798">
      <w:pPr>
        <w:jc w:val="both"/>
        <w:rPr>
          <w:sz w:val="28"/>
          <w:szCs w:val="28"/>
        </w:rPr>
      </w:pPr>
    </w:p>
    <w:p w:rsidR="004775DC" w:rsidRPr="004775DC" w:rsidRDefault="004775DC">
      <w:r w:rsidRPr="004775DC">
        <w:br w:type="page"/>
      </w:r>
    </w:p>
    <w:p w:rsidR="00334167" w:rsidRPr="00334167" w:rsidRDefault="00334167" w:rsidP="00334167">
      <w:pPr>
        <w:rPr>
          <w:sz w:val="28"/>
          <w:szCs w:val="28"/>
        </w:rPr>
      </w:pPr>
      <w:r w:rsidRPr="00334167">
        <w:rPr>
          <w:sz w:val="28"/>
          <w:szCs w:val="28"/>
        </w:rPr>
        <w:lastRenderedPageBreak/>
        <w:t>***********************************************************</w:t>
      </w:r>
    </w:p>
    <w:p w:rsidR="00334167" w:rsidRDefault="00334167" w:rsidP="001521CF">
      <w:pPr>
        <w:rPr>
          <w:rFonts w:eastAsia="Times New Roman"/>
          <w:b/>
          <w:sz w:val="28"/>
          <w:szCs w:val="28"/>
          <w:u w:val="single"/>
          <w:lang w:eastAsia="el-GR"/>
        </w:rPr>
      </w:pPr>
    </w:p>
    <w:p w:rsidR="00887468" w:rsidRDefault="00334167" w:rsidP="001521CF">
      <w:pPr>
        <w:rPr>
          <w:rFonts w:eastAsia="Times New Roman"/>
          <w:b/>
          <w:sz w:val="28"/>
          <w:szCs w:val="28"/>
          <w:u w:val="single"/>
          <w:lang w:eastAsia="el-GR"/>
        </w:rPr>
      </w:pPr>
      <w:r w:rsidRPr="00334167">
        <w:rPr>
          <w:rFonts w:eastAsia="Times New Roman"/>
          <w:b/>
          <w:sz w:val="28"/>
          <w:szCs w:val="28"/>
          <w:u w:val="single"/>
          <w:lang w:eastAsia="el-GR"/>
        </w:rPr>
        <w:t>Κυρώσεις σε χρήστες:</w:t>
      </w:r>
    </w:p>
    <w:p w:rsidR="00334167" w:rsidRPr="00334167" w:rsidRDefault="00334167" w:rsidP="001521CF">
      <w:pPr>
        <w:rPr>
          <w:rFonts w:eastAsia="Times New Roman"/>
          <w:b/>
          <w:sz w:val="28"/>
          <w:szCs w:val="28"/>
          <w:u w:val="single"/>
          <w:lang w:eastAsia="el-GR"/>
        </w:rPr>
      </w:pPr>
    </w:p>
    <w:p w:rsidR="00334167" w:rsidRDefault="00334167" w:rsidP="001521CF">
      <w:pPr>
        <w:rPr>
          <w:rFonts w:ascii="Courier New" w:eastAsia="Times New Roman" w:hAnsi="Courier New"/>
          <w:szCs w:val="20"/>
          <w:lang w:eastAsia="el-GR"/>
        </w:rPr>
      </w:pPr>
    </w:p>
    <w:p w:rsidR="00334167" w:rsidRDefault="00334167" w:rsidP="001521CF">
      <w:pPr>
        <w:rPr>
          <w:rFonts w:ascii="Courier New" w:eastAsia="Times New Roman" w:hAnsi="Courier New"/>
          <w:szCs w:val="20"/>
          <w:lang w:eastAsia="el-GR"/>
        </w:rPr>
      </w:pPr>
    </w:p>
    <w:tbl>
      <w:tblPr>
        <w:tblW w:w="0" w:type="auto"/>
        <w:tblLook w:val="04A0" w:firstRow="1" w:lastRow="0" w:firstColumn="1" w:lastColumn="0" w:noHBand="0" w:noVBand="1"/>
      </w:tblPr>
      <w:tblGrid>
        <w:gridCol w:w="4503"/>
        <w:gridCol w:w="4019"/>
      </w:tblGrid>
      <w:tr w:rsidR="00887468" w:rsidRPr="00887468" w:rsidTr="00887468">
        <w:tc>
          <w:tcPr>
            <w:tcW w:w="4503" w:type="dxa"/>
            <w:hideMark/>
          </w:tcPr>
          <w:p w:rsidR="00887468" w:rsidRPr="00887468" w:rsidRDefault="00887468" w:rsidP="00887468">
            <w:pPr>
              <w:tabs>
                <w:tab w:val="left" w:pos="2552"/>
              </w:tabs>
              <w:jc w:val="both"/>
              <w:rPr>
                <w:rFonts w:eastAsia="Times New Roman"/>
                <w:sz w:val="28"/>
                <w:szCs w:val="20"/>
                <w:lang w:val="en-US" w:eastAsia="el-GR"/>
              </w:rPr>
            </w:pPr>
            <w:r w:rsidRPr="00887468">
              <w:rPr>
                <w:rFonts w:eastAsia="Times New Roman"/>
                <w:sz w:val="28"/>
                <w:szCs w:val="20"/>
                <w:lang w:eastAsia="el-GR"/>
              </w:rPr>
              <w:t>ΕΛΛΗΝΙΚΗ ΔΗΜΟΚΡΑΤΙΑ</w:t>
            </w:r>
          </w:p>
        </w:tc>
        <w:tc>
          <w:tcPr>
            <w:tcW w:w="4019" w:type="dxa"/>
          </w:tcPr>
          <w:p w:rsidR="00887468" w:rsidRPr="00887468" w:rsidRDefault="00887468" w:rsidP="00887468">
            <w:pPr>
              <w:jc w:val="both"/>
              <w:rPr>
                <w:rFonts w:eastAsia="Times New Roman"/>
                <w:sz w:val="28"/>
                <w:szCs w:val="20"/>
                <w:lang w:val="en-US" w:eastAsia="el-GR"/>
              </w:rPr>
            </w:pPr>
          </w:p>
        </w:tc>
      </w:tr>
      <w:tr w:rsidR="00887468" w:rsidRPr="00887468" w:rsidTr="00887468">
        <w:tc>
          <w:tcPr>
            <w:tcW w:w="4503" w:type="dxa"/>
            <w:hideMark/>
          </w:tcPr>
          <w:p w:rsidR="00887468" w:rsidRPr="00887468" w:rsidRDefault="00887468" w:rsidP="00887468">
            <w:pPr>
              <w:jc w:val="both"/>
              <w:rPr>
                <w:rFonts w:eastAsia="Times New Roman"/>
                <w:sz w:val="28"/>
                <w:szCs w:val="20"/>
                <w:lang w:val="en-US" w:eastAsia="el-GR"/>
              </w:rPr>
            </w:pPr>
            <w:r>
              <w:rPr>
                <w:rFonts w:eastAsia="Times New Roman"/>
                <w:sz w:val="28"/>
                <w:szCs w:val="20"/>
                <w:lang w:eastAsia="el-GR"/>
              </w:rPr>
              <w:t>ΤΟΕΒ ΑΝΩ ΡΟΥ ΑΧΕΡΟΝΤΑ</w:t>
            </w:r>
          </w:p>
        </w:tc>
        <w:tc>
          <w:tcPr>
            <w:tcW w:w="4019" w:type="dxa"/>
            <w:hideMark/>
          </w:tcPr>
          <w:p w:rsidR="00887468" w:rsidRPr="00887468" w:rsidRDefault="00887468" w:rsidP="00887468">
            <w:pPr>
              <w:jc w:val="right"/>
              <w:rPr>
                <w:rFonts w:eastAsia="Times New Roman"/>
                <w:sz w:val="28"/>
                <w:szCs w:val="20"/>
                <w:lang w:eastAsia="el-GR"/>
              </w:rPr>
            </w:pPr>
            <w:r>
              <w:rPr>
                <w:rFonts w:eastAsia="Times New Roman"/>
                <w:sz w:val="28"/>
                <w:szCs w:val="20"/>
                <w:lang w:eastAsia="el-GR"/>
              </w:rPr>
              <w:t>Ρωμανός</w:t>
            </w:r>
            <w:r w:rsidRPr="00887468">
              <w:rPr>
                <w:rFonts w:eastAsia="Times New Roman"/>
                <w:sz w:val="28"/>
                <w:szCs w:val="20"/>
                <w:lang w:eastAsia="el-GR"/>
              </w:rPr>
              <w:t xml:space="preserve"> </w:t>
            </w:r>
            <w:r w:rsidRPr="00887468">
              <w:rPr>
                <w:rFonts w:eastAsia="Times New Roman"/>
                <w:sz w:val="28"/>
                <w:szCs w:val="20"/>
                <w:lang w:val="en-US" w:eastAsia="el-GR"/>
              </w:rPr>
              <w:t>17</w:t>
            </w:r>
            <w:r w:rsidRPr="00887468">
              <w:rPr>
                <w:rFonts w:eastAsia="Times New Roman"/>
                <w:sz w:val="28"/>
                <w:szCs w:val="20"/>
                <w:lang w:eastAsia="el-GR"/>
              </w:rPr>
              <w:t xml:space="preserve"> </w:t>
            </w:r>
            <w:r>
              <w:rPr>
                <w:rFonts w:eastAsia="Times New Roman"/>
                <w:sz w:val="28"/>
                <w:szCs w:val="20"/>
                <w:lang w:eastAsia="el-GR"/>
              </w:rPr>
              <w:t>Μαρτ</w:t>
            </w:r>
            <w:r w:rsidRPr="00887468">
              <w:rPr>
                <w:rFonts w:eastAsia="Times New Roman"/>
                <w:sz w:val="28"/>
                <w:szCs w:val="20"/>
                <w:lang w:eastAsia="el-GR"/>
              </w:rPr>
              <w:t>ίου 20</w:t>
            </w:r>
            <w:r>
              <w:rPr>
                <w:rFonts w:eastAsia="Times New Roman"/>
                <w:sz w:val="28"/>
                <w:szCs w:val="20"/>
                <w:lang w:eastAsia="el-GR"/>
              </w:rPr>
              <w:t>02</w:t>
            </w:r>
          </w:p>
        </w:tc>
      </w:tr>
      <w:tr w:rsidR="00887468" w:rsidRPr="00887468" w:rsidTr="00887468">
        <w:tc>
          <w:tcPr>
            <w:tcW w:w="4503" w:type="dxa"/>
            <w:hideMark/>
          </w:tcPr>
          <w:p w:rsidR="00887468" w:rsidRPr="00887468" w:rsidRDefault="00887468" w:rsidP="00887468">
            <w:pPr>
              <w:keepNext/>
              <w:jc w:val="both"/>
              <w:outlineLvl w:val="0"/>
              <w:rPr>
                <w:rFonts w:eastAsia="Times New Roman"/>
                <w:sz w:val="28"/>
                <w:szCs w:val="20"/>
                <w:u w:val="single"/>
                <w:lang w:val="en-US" w:eastAsia="el-GR"/>
              </w:rPr>
            </w:pPr>
            <w:r>
              <w:rPr>
                <w:rFonts w:eastAsia="Times New Roman"/>
                <w:sz w:val="28"/>
                <w:szCs w:val="20"/>
                <w:u w:val="single"/>
                <w:lang w:eastAsia="el-GR"/>
              </w:rPr>
              <w:t>ΕΔΡΑ: ΡΩΜΑΝΟΣ ΙΩΑΝΝΙΝΩΝ</w:t>
            </w:r>
          </w:p>
        </w:tc>
        <w:tc>
          <w:tcPr>
            <w:tcW w:w="4019" w:type="dxa"/>
            <w:hideMark/>
          </w:tcPr>
          <w:p w:rsidR="00887468" w:rsidRPr="00887468" w:rsidRDefault="00887468" w:rsidP="00887468">
            <w:pPr>
              <w:rPr>
                <w:rFonts w:eastAsia="Times New Roman"/>
                <w:sz w:val="28"/>
                <w:szCs w:val="20"/>
                <w:lang w:val="en-US" w:eastAsia="el-GR"/>
              </w:rPr>
            </w:pPr>
            <w:r w:rsidRPr="00887468">
              <w:rPr>
                <w:rFonts w:eastAsia="Times New Roman"/>
                <w:sz w:val="28"/>
                <w:szCs w:val="20"/>
                <w:lang w:eastAsia="el-GR"/>
              </w:rPr>
              <w:t xml:space="preserve">                 Αριθμ. </w:t>
            </w:r>
            <w:proofErr w:type="spellStart"/>
            <w:r w:rsidRPr="00887468">
              <w:rPr>
                <w:rFonts w:eastAsia="Times New Roman"/>
                <w:sz w:val="28"/>
                <w:szCs w:val="20"/>
                <w:lang w:eastAsia="el-GR"/>
              </w:rPr>
              <w:t>πρωτ</w:t>
            </w:r>
            <w:proofErr w:type="spellEnd"/>
            <w:r w:rsidRPr="00887468">
              <w:rPr>
                <w:rFonts w:eastAsia="Times New Roman"/>
                <w:sz w:val="28"/>
                <w:szCs w:val="20"/>
                <w:lang w:eastAsia="el-GR"/>
              </w:rPr>
              <w:t xml:space="preserve">: </w:t>
            </w:r>
            <w:r>
              <w:rPr>
                <w:rFonts w:eastAsia="Times New Roman"/>
                <w:sz w:val="28"/>
                <w:szCs w:val="20"/>
                <w:lang w:eastAsia="el-GR"/>
              </w:rPr>
              <w:t>3</w:t>
            </w:r>
            <w:r w:rsidRPr="00887468">
              <w:rPr>
                <w:rFonts w:eastAsia="Times New Roman"/>
                <w:sz w:val="28"/>
                <w:szCs w:val="20"/>
                <w:lang w:eastAsia="el-GR"/>
              </w:rPr>
              <w:t>4</w:t>
            </w:r>
          </w:p>
        </w:tc>
      </w:tr>
      <w:tr w:rsidR="00887468" w:rsidRPr="00887468" w:rsidTr="00887468">
        <w:tc>
          <w:tcPr>
            <w:tcW w:w="4503" w:type="dxa"/>
            <w:hideMark/>
          </w:tcPr>
          <w:p w:rsidR="00887468" w:rsidRPr="00887468" w:rsidRDefault="00887468" w:rsidP="00887468">
            <w:pPr>
              <w:jc w:val="both"/>
              <w:rPr>
                <w:rFonts w:eastAsia="Times New Roman"/>
                <w:sz w:val="28"/>
                <w:szCs w:val="20"/>
                <w:lang w:eastAsia="el-GR"/>
              </w:rPr>
            </w:pPr>
            <w:proofErr w:type="spellStart"/>
            <w:r>
              <w:rPr>
                <w:rFonts w:eastAsia="Times New Roman"/>
                <w:sz w:val="28"/>
                <w:szCs w:val="20"/>
                <w:lang w:eastAsia="el-GR"/>
              </w:rPr>
              <w:t>Τηλέφ</w:t>
            </w:r>
            <w:proofErr w:type="spellEnd"/>
            <w:r>
              <w:rPr>
                <w:rFonts w:eastAsia="Times New Roman"/>
                <w:sz w:val="28"/>
                <w:szCs w:val="20"/>
                <w:lang w:eastAsia="el-GR"/>
              </w:rPr>
              <w:t>.: 26540</w:t>
            </w:r>
            <w:r w:rsidRPr="00887468">
              <w:rPr>
                <w:rFonts w:eastAsia="Times New Roman"/>
                <w:sz w:val="28"/>
                <w:szCs w:val="20"/>
                <w:lang w:eastAsia="el-GR"/>
              </w:rPr>
              <w:t>-</w:t>
            </w:r>
            <w:r>
              <w:rPr>
                <w:rFonts w:eastAsia="Times New Roman"/>
                <w:sz w:val="28"/>
                <w:szCs w:val="20"/>
                <w:lang w:eastAsia="el-GR"/>
              </w:rPr>
              <w:t>4</w:t>
            </w:r>
            <w:r w:rsidRPr="00887468">
              <w:rPr>
                <w:rFonts w:eastAsia="Times New Roman"/>
                <w:sz w:val="28"/>
                <w:szCs w:val="20"/>
                <w:lang w:eastAsia="el-GR"/>
              </w:rPr>
              <w:t>1.</w:t>
            </w:r>
            <w:r>
              <w:rPr>
                <w:rFonts w:eastAsia="Times New Roman"/>
                <w:sz w:val="28"/>
                <w:szCs w:val="20"/>
                <w:lang w:eastAsia="el-GR"/>
              </w:rPr>
              <w:t>256</w:t>
            </w:r>
            <w:r w:rsidRPr="00887468">
              <w:rPr>
                <w:rFonts w:eastAsia="Times New Roman"/>
                <w:sz w:val="28"/>
                <w:szCs w:val="20"/>
                <w:lang w:eastAsia="el-GR"/>
              </w:rPr>
              <w:t xml:space="preserve">  </w:t>
            </w:r>
          </w:p>
        </w:tc>
        <w:tc>
          <w:tcPr>
            <w:tcW w:w="4019" w:type="dxa"/>
          </w:tcPr>
          <w:p w:rsidR="00887468" w:rsidRPr="00887468" w:rsidRDefault="00887468" w:rsidP="00887468">
            <w:pPr>
              <w:jc w:val="both"/>
              <w:rPr>
                <w:rFonts w:eastAsia="Times New Roman"/>
                <w:sz w:val="28"/>
                <w:szCs w:val="20"/>
                <w:lang w:eastAsia="el-GR"/>
              </w:rPr>
            </w:pPr>
          </w:p>
        </w:tc>
      </w:tr>
    </w:tbl>
    <w:p w:rsidR="00887468" w:rsidRDefault="00887468" w:rsidP="001521CF">
      <w:pPr>
        <w:rPr>
          <w:rFonts w:ascii="Courier New" w:eastAsia="Times New Roman" w:hAnsi="Courier New"/>
          <w:szCs w:val="20"/>
          <w:lang w:eastAsia="el-GR"/>
        </w:rPr>
      </w:pPr>
    </w:p>
    <w:p w:rsidR="001521CF" w:rsidRPr="001521CF" w:rsidRDefault="001521CF" w:rsidP="001521CF">
      <w:pPr>
        <w:rPr>
          <w:rFonts w:ascii="Courier New" w:eastAsia="Times New Roman" w:hAnsi="Courier New"/>
          <w:szCs w:val="20"/>
          <w:lang w:eastAsia="el-GR"/>
        </w:rPr>
      </w:pPr>
      <w:r w:rsidRPr="001521CF">
        <w:rPr>
          <w:rFonts w:ascii="Courier New" w:eastAsia="Times New Roman" w:hAnsi="Courier New"/>
          <w:szCs w:val="20"/>
          <w:lang w:eastAsia="el-GR"/>
        </w:rPr>
        <w:t xml:space="preserve">   </w:t>
      </w:r>
    </w:p>
    <w:p w:rsidR="001521CF" w:rsidRPr="001521CF" w:rsidRDefault="001521CF" w:rsidP="001521CF">
      <w:pPr>
        <w:rPr>
          <w:rFonts w:ascii="Courier New" w:eastAsia="Times New Roman" w:hAnsi="Courier New"/>
          <w:szCs w:val="20"/>
          <w:lang w:eastAsia="el-GR"/>
        </w:rPr>
      </w:pPr>
    </w:p>
    <w:p w:rsidR="001521CF" w:rsidRPr="001521CF" w:rsidRDefault="001521CF" w:rsidP="001521CF">
      <w:pPr>
        <w:rPr>
          <w:rFonts w:ascii="Courier New" w:eastAsia="Times New Roman" w:hAnsi="Courier New"/>
          <w:sz w:val="32"/>
          <w:szCs w:val="20"/>
          <w:lang w:eastAsia="el-GR"/>
        </w:rPr>
      </w:pPr>
    </w:p>
    <w:p w:rsidR="001521CF" w:rsidRPr="00887468" w:rsidRDefault="001521CF" w:rsidP="00887468">
      <w:pPr>
        <w:jc w:val="center"/>
        <w:rPr>
          <w:rFonts w:eastAsia="Times New Roman"/>
          <w:b/>
          <w:sz w:val="40"/>
          <w:szCs w:val="20"/>
          <w:u w:val="single"/>
          <w:lang w:eastAsia="el-GR"/>
        </w:rPr>
      </w:pPr>
      <w:r w:rsidRPr="00887468">
        <w:rPr>
          <w:rFonts w:eastAsia="Times New Roman"/>
          <w:b/>
          <w:sz w:val="40"/>
          <w:szCs w:val="20"/>
          <w:u w:val="single"/>
          <w:lang w:eastAsia="el-GR"/>
        </w:rPr>
        <w:t>Α Ν Α Κ Ο Ι Ν Ω Σ Η</w:t>
      </w:r>
    </w:p>
    <w:p w:rsidR="001521CF" w:rsidRPr="001521CF" w:rsidRDefault="001521CF" w:rsidP="001521CF">
      <w:pPr>
        <w:jc w:val="both"/>
        <w:rPr>
          <w:rFonts w:ascii="Courier New" w:eastAsia="Times New Roman" w:hAnsi="Courier New"/>
          <w:b/>
          <w:sz w:val="32"/>
          <w:szCs w:val="20"/>
          <w:u w:val="single"/>
          <w:lang w:eastAsia="el-GR"/>
        </w:rPr>
      </w:pPr>
    </w:p>
    <w:p w:rsidR="001521CF" w:rsidRPr="001521CF" w:rsidRDefault="001521CF" w:rsidP="001521CF">
      <w:pPr>
        <w:rPr>
          <w:rFonts w:ascii="Courier New" w:eastAsia="Times New Roman" w:hAnsi="Courier New"/>
          <w:b/>
          <w:sz w:val="32"/>
          <w:szCs w:val="20"/>
          <w:lang w:eastAsia="el-GR"/>
        </w:rPr>
      </w:pPr>
    </w:p>
    <w:p w:rsidR="001521CF" w:rsidRPr="00887468" w:rsidRDefault="00887468" w:rsidP="00887468">
      <w:pPr>
        <w:ind w:firstLine="426"/>
        <w:jc w:val="both"/>
        <w:rPr>
          <w:rFonts w:eastAsia="Times New Roman"/>
          <w:sz w:val="32"/>
          <w:szCs w:val="32"/>
          <w:lang w:eastAsia="el-GR"/>
        </w:rPr>
      </w:pPr>
      <w:r>
        <w:rPr>
          <w:rFonts w:eastAsia="Times New Roman"/>
          <w:sz w:val="32"/>
          <w:szCs w:val="32"/>
          <w:lang w:eastAsia="el-GR"/>
        </w:rPr>
        <w:t>Ο ΤΟΕΒ Άνω Ρου Αχέροντα</w:t>
      </w:r>
      <w:r w:rsidR="001521CF" w:rsidRPr="00887468">
        <w:rPr>
          <w:rFonts w:eastAsia="Times New Roman"/>
          <w:sz w:val="32"/>
          <w:szCs w:val="32"/>
          <w:lang w:eastAsia="el-GR"/>
        </w:rPr>
        <w:t>, ενημερώνει τους παραγωγούς που αρδεύουν τα κτήματά τους με φυσική ροή, ότι βάσει του άρθρου 9 του Κα</w:t>
      </w:r>
      <w:r w:rsidR="001521CF" w:rsidRPr="00887468">
        <w:rPr>
          <w:rFonts w:eastAsia="Times New Roman"/>
          <w:sz w:val="32"/>
          <w:szCs w:val="32"/>
          <w:lang w:eastAsia="el-GR"/>
        </w:rPr>
        <w:softHyphen/>
        <w:t xml:space="preserve">νονισμού </w:t>
      </w:r>
      <w:r>
        <w:rPr>
          <w:rFonts w:eastAsia="Times New Roman"/>
          <w:sz w:val="32"/>
          <w:szCs w:val="32"/>
          <w:lang w:eastAsia="el-GR"/>
        </w:rPr>
        <w:t>Ά</w:t>
      </w:r>
      <w:r w:rsidR="001521CF" w:rsidRPr="00887468">
        <w:rPr>
          <w:rFonts w:eastAsia="Times New Roman"/>
          <w:sz w:val="32"/>
          <w:szCs w:val="32"/>
          <w:lang w:eastAsia="el-GR"/>
        </w:rPr>
        <w:t>ρδε</w:t>
      </w:r>
      <w:r>
        <w:rPr>
          <w:rFonts w:eastAsia="Times New Roman"/>
          <w:sz w:val="32"/>
          <w:szCs w:val="32"/>
          <w:lang w:eastAsia="el-GR"/>
        </w:rPr>
        <w:t>υ</w:t>
      </w:r>
      <w:r w:rsidR="001521CF" w:rsidRPr="00887468">
        <w:rPr>
          <w:rFonts w:eastAsia="Times New Roman"/>
          <w:sz w:val="32"/>
          <w:szCs w:val="32"/>
          <w:lang w:eastAsia="el-GR"/>
        </w:rPr>
        <w:t>σ</w:t>
      </w:r>
      <w:r>
        <w:rPr>
          <w:rFonts w:eastAsia="Times New Roman"/>
          <w:sz w:val="32"/>
          <w:szCs w:val="32"/>
          <w:lang w:eastAsia="el-GR"/>
        </w:rPr>
        <w:t>η</w:t>
      </w:r>
      <w:r w:rsidR="001521CF" w:rsidRPr="00887468">
        <w:rPr>
          <w:rFonts w:eastAsia="Times New Roman"/>
          <w:sz w:val="32"/>
          <w:szCs w:val="32"/>
          <w:lang w:eastAsia="el-GR"/>
        </w:rPr>
        <w:t xml:space="preserve">ς του ΤΟΕΒ, υποχρεούνται να καθαρίσουν τα </w:t>
      </w:r>
      <w:proofErr w:type="spellStart"/>
      <w:r w:rsidR="001521CF" w:rsidRPr="00887468">
        <w:rPr>
          <w:rFonts w:eastAsia="Times New Roman"/>
          <w:sz w:val="32"/>
          <w:szCs w:val="32"/>
          <w:lang w:eastAsia="el-GR"/>
        </w:rPr>
        <w:t>καναλέττα</w:t>
      </w:r>
      <w:proofErr w:type="spellEnd"/>
      <w:r w:rsidR="001521CF" w:rsidRPr="00887468">
        <w:rPr>
          <w:rFonts w:eastAsia="Times New Roman"/>
          <w:sz w:val="32"/>
          <w:szCs w:val="32"/>
          <w:lang w:eastAsia="el-GR"/>
        </w:rPr>
        <w:t xml:space="preserve"> από τα αγριό</w:t>
      </w:r>
      <w:r w:rsidR="001521CF" w:rsidRPr="00887468">
        <w:rPr>
          <w:rFonts w:eastAsia="Times New Roman"/>
          <w:sz w:val="32"/>
          <w:szCs w:val="32"/>
          <w:lang w:eastAsia="el-GR"/>
        </w:rPr>
        <w:softHyphen/>
        <w:t>χορτα και τα χώματα, για να αποφευχθεί η άσκοπη διαρροή και σπατάλη αρδευτικού νε</w:t>
      </w:r>
      <w:r w:rsidR="001521CF" w:rsidRPr="00887468">
        <w:rPr>
          <w:rFonts w:eastAsia="Times New Roman"/>
          <w:sz w:val="32"/>
          <w:szCs w:val="32"/>
          <w:lang w:eastAsia="el-GR"/>
        </w:rPr>
        <w:softHyphen/>
        <w:t>ρού.</w:t>
      </w:r>
    </w:p>
    <w:p w:rsidR="001521CF" w:rsidRPr="00887468" w:rsidRDefault="001521CF" w:rsidP="00887468">
      <w:pPr>
        <w:ind w:firstLine="426"/>
        <w:jc w:val="both"/>
        <w:rPr>
          <w:rFonts w:eastAsia="Times New Roman"/>
          <w:sz w:val="32"/>
          <w:szCs w:val="32"/>
          <w:lang w:eastAsia="el-GR"/>
        </w:rPr>
      </w:pPr>
      <w:r w:rsidRPr="00887468">
        <w:rPr>
          <w:rFonts w:eastAsia="Times New Roman"/>
          <w:sz w:val="32"/>
          <w:szCs w:val="32"/>
          <w:lang w:eastAsia="el-GR"/>
        </w:rPr>
        <w:t xml:space="preserve">Σε αυτούς που δεν θα καθαρίσουν τα </w:t>
      </w:r>
      <w:proofErr w:type="spellStart"/>
      <w:r w:rsidRPr="00887468">
        <w:rPr>
          <w:rFonts w:eastAsia="Times New Roman"/>
          <w:sz w:val="32"/>
          <w:szCs w:val="32"/>
          <w:lang w:eastAsia="el-GR"/>
        </w:rPr>
        <w:t>κανα</w:t>
      </w:r>
      <w:r w:rsidRPr="00887468">
        <w:rPr>
          <w:rFonts w:eastAsia="Times New Roman"/>
          <w:sz w:val="32"/>
          <w:szCs w:val="32"/>
          <w:lang w:eastAsia="el-GR"/>
        </w:rPr>
        <w:softHyphen/>
        <w:t>λέττα</w:t>
      </w:r>
      <w:proofErr w:type="spellEnd"/>
      <w:r w:rsidRPr="00887468">
        <w:rPr>
          <w:rFonts w:eastAsia="Times New Roman"/>
          <w:sz w:val="32"/>
          <w:szCs w:val="32"/>
          <w:lang w:eastAsia="el-GR"/>
        </w:rPr>
        <w:t xml:space="preserve"> θα αναγκα</w:t>
      </w:r>
      <w:r w:rsidR="00937CF5">
        <w:rPr>
          <w:rFonts w:eastAsia="Times New Roman"/>
          <w:sz w:val="32"/>
          <w:szCs w:val="32"/>
          <w:lang w:eastAsia="el-GR"/>
        </w:rPr>
        <w:softHyphen/>
      </w:r>
      <w:r w:rsidRPr="00887468">
        <w:rPr>
          <w:rFonts w:eastAsia="Times New Roman"/>
          <w:sz w:val="32"/>
          <w:szCs w:val="32"/>
          <w:lang w:eastAsia="el-GR"/>
        </w:rPr>
        <w:t>στούμε να κινήσουμε σε βάρος τους την προβλεπόμενη από τον νόμο διαδικασία για την επιβολή διοικητικών και ποινικών κυ</w:t>
      </w:r>
      <w:r w:rsidR="00937CF5">
        <w:rPr>
          <w:rFonts w:eastAsia="Times New Roman"/>
          <w:sz w:val="32"/>
          <w:szCs w:val="32"/>
          <w:lang w:eastAsia="el-GR"/>
        </w:rPr>
        <w:softHyphen/>
      </w:r>
      <w:r w:rsidRPr="00887468">
        <w:rPr>
          <w:rFonts w:eastAsia="Times New Roman"/>
          <w:sz w:val="32"/>
          <w:szCs w:val="32"/>
          <w:lang w:eastAsia="el-GR"/>
        </w:rPr>
        <w:t>ρώσεων, Ν.Δ. 3030/1954 «περί Αγροφυλακής και σύμφωνα με το άρθρο 40 του Ν.Δ. 3881/58 «περί έργων Εγγείων Βελτιώ</w:t>
      </w:r>
      <w:r w:rsidRPr="00887468">
        <w:rPr>
          <w:rFonts w:eastAsia="Times New Roman"/>
          <w:sz w:val="32"/>
          <w:szCs w:val="32"/>
          <w:lang w:eastAsia="el-GR"/>
        </w:rPr>
        <w:softHyphen/>
        <w:t>σεων».</w:t>
      </w:r>
    </w:p>
    <w:p w:rsidR="001521CF" w:rsidRPr="00887468" w:rsidRDefault="001521CF" w:rsidP="001521CF">
      <w:pPr>
        <w:jc w:val="both"/>
        <w:rPr>
          <w:rFonts w:eastAsia="Times New Roman"/>
          <w:sz w:val="32"/>
          <w:szCs w:val="32"/>
          <w:lang w:eastAsia="el-GR"/>
        </w:rPr>
      </w:pPr>
    </w:p>
    <w:p w:rsidR="001521CF" w:rsidRPr="00887468" w:rsidRDefault="001521CF" w:rsidP="00887468">
      <w:pPr>
        <w:ind w:left="1440"/>
        <w:jc w:val="center"/>
        <w:rPr>
          <w:rFonts w:eastAsia="Times New Roman"/>
          <w:sz w:val="32"/>
          <w:szCs w:val="20"/>
          <w:lang w:eastAsia="el-GR"/>
        </w:rPr>
      </w:pPr>
      <w:r w:rsidRPr="00887468">
        <w:rPr>
          <w:rFonts w:eastAsia="Times New Roman"/>
          <w:sz w:val="32"/>
          <w:szCs w:val="20"/>
          <w:lang w:eastAsia="el-GR"/>
        </w:rPr>
        <w:t>Ο  ΠΡΟΕΔΡΟΣ</w:t>
      </w:r>
    </w:p>
    <w:p w:rsidR="001521CF" w:rsidRPr="00887468" w:rsidRDefault="001521CF" w:rsidP="00887468">
      <w:pPr>
        <w:ind w:left="1440"/>
        <w:jc w:val="center"/>
        <w:rPr>
          <w:rFonts w:eastAsia="Times New Roman"/>
          <w:sz w:val="32"/>
          <w:szCs w:val="20"/>
          <w:lang w:eastAsia="el-GR"/>
        </w:rPr>
      </w:pPr>
    </w:p>
    <w:p w:rsidR="001521CF" w:rsidRPr="00887468" w:rsidRDefault="001521CF" w:rsidP="00887468">
      <w:pPr>
        <w:ind w:left="1440"/>
        <w:jc w:val="center"/>
        <w:rPr>
          <w:rFonts w:eastAsia="Times New Roman"/>
          <w:sz w:val="32"/>
          <w:szCs w:val="20"/>
          <w:lang w:eastAsia="el-GR"/>
        </w:rPr>
      </w:pPr>
    </w:p>
    <w:p w:rsidR="001521CF" w:rsidRPr="00887468" w:rsidRDefault="001521CF" w:rsidP="00887468">
      <w:pPr>
        <w:ind w:left="1440"/>
        <w:jc w:val="center"/>
        <w:rPr>
          <w:rFonts w:eastAsia="Times New Roman"/>
          <w:sz w:val="32"/>
          <w:szCs w:val="20"/>
          <w:lang w:eastAsia="el-GR"/>
        </w:rPr>
      </w:pPr>
    </w:p>
    <w:p w:rsidR="001521CF" w:rsidRPr="00887468" w:rsidRDefault="001521CF" w:rsidP="00887468">
      <w:pPr>
        <w:ind w:left="1440"/>
        <w:jc w:val="center"/>
        <w:rPr>
          <w:rFonts w:eastAsia="Times New Roman"/>
          <w:sz w:val="32"/>
          <w:szCs w:val="20"/>
          <w:lang w:val="en-US" w:eastAsia="el-GR"/>
        </w:rPr>
      </w:pPr>
      <w:r w:rsidRPr="00887468">
        <w:rPr>
          <w:rFonts w:eastAsia="Times New Roman"/>
          <w:sz w:val="32"/>
          <w:szCs w:val="20"/>
          <w:lang w:eastAsia="el-GR"/>
        </w:rPr>
        <w:t>ΤΣΙ</w:t>
      </w:r>
      <w:r w:rsidR="00887468">
        <w:rPr>
          <w:rFonts w:eastAsia="Times New Roman"/>
          <w:sz w:val="32"/>
          <w:szCs w:val="20"/>
          <w:lang w:eastAsia="el-GR"/>
        </w:rPr>
        <w:t>ΟΥΠΗΣ</w:t>
      </w:r>
      <w:r w:rsidRPr="00887468">
        <w:rPr>
          <w:rFonts w:eastAsia="Times New Roman"/>
          <w:sz w:val="32"/>
          <w:szCs w:val="20"/>
          <w:lang w:eastAsia="el-GR"/>
        </w:rPr>
        <w:t xml:space="preserve">  </w:t>
      </w:r>
      <w:r w:rsidR="00887468">
        <w:rPr>
          <w:rFonts w:eastAsia="Times New Roman"/>
          <w:sz w:val="32"/>
          <w:szCs w:val="20"/>
          <w:lang w:eastAsia="el-GR"/>
        </w:rPr>
        <w:t>ΧΡΗΣΤ</w:t>
      </w:r>
      <w:r w:rsidRPr="00887468">
        <w:rPr>
          <w:rFonts w:eastAsia="Times New Roman"/>
          <w:sz w:val="32"/>
          <w:szCs w:val="20"/>
          <w:lang w:eastAsia="el-GR"/>
        </w:rPr>
        <w:t>ΟΣ</w:t>
      </w:r>
    </w:p>
    <w:p w:rsidR="00887468" w:rsidRDefault="00887468" w:rsidP="001521CF">
      <w:pPr>
        <w:jc w:val="both"/>
        <w:rPr>
          <w:rFonts w:ascii="Courier New" w:eastAsia="Times New Roman" w:hAnsi="Courier New"/>
          <w:b/>
          <w:sz w:val="32"/>
          <w:szCs w:val="20"/>
          <w:lang w:eastAsia="el-GR"/>
        </w:rPr>
      </w:pPr>
    </w:p>
    <w:p w:rsidR="00887468" w:rsidRDefault="00887468" w:rsidP="001521CF">
      <w:pPr>
        <w:jc w:val="both"/>
        <w:rPr>
          <w:rFonts w:ascii="Courier New" w:eastAsia="Times New Roman" w:hAnsi="Courier New"/>
          <w:b/>
          <w:sz w:val="32"/>
          <w:szCs w:val="20"/>
          <w:lang w:eastAsia="el-GR"/>
        </w:rPr>
      </w:pPr>
      <w:bookmarkStart w:id="0" w:name="_GoBack"/>
      <w:bookmarkEnd w:id="0"/>
    </w:p>
    <w:p w:rsidR="00334167" w:rsidRPr="00334167" w:rsidRDefault="00334167" w:rsidP="00334167">
      <w:pPr>
        <w:rPr>
          <w:sz w:val="28"/>
          <w:szCs w:val="28"/>
        </w:rPr>
      </w:pPr>
      <w:r w:rsidRPr="00334167">
        <w:rPr>
          <w:sz w:val="28"/>
          <w:szCs w:val="28"/>
        </w:rPr>
        <w:t>***********************************************************</w:t>
      </w:r>
    </w:p>
    <w:p w:rsidR="00887468" w:rsidRPr="00887468" w:rsidRDefault="00887468" w:rsidP="001521CF">
      <w:pPr>
        <w:jc w:val="both"/>
        <w:rPr>
          <w:rFonts w:ascii="Courier New" w:eastAsia="Times New Roman" w:hAnsi="Courier New"/>
          <w:b/>
          <w:sz w:val="32"/>
          <w:szCs w:val="20"/>
          <w:lang w:eastAsia="el-GR"/>
        </w:rPr>
      </w:pPr>
    </w:p>
    <w:sectPr w:rsidR="00887468" w:rsidRPr="00887468" w:rsidSect="006719A6">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21"/>
    <w:rsid w:val="00020935"/>
    <w:rsid w:val="001521CF"/>
    <w:rsid w:val="001B3ADF"/>
    <w:rsid w:val="00213882"/>
    <w:rsid w:val="002337A0"/>
    <w:rsid w:val="00334167"/>
    <w:rsid w:val="004775DC"/>
    <w:rsid w:val="006719A6"/>
    <w:rsid w:val="006E04C8"/>
    <w:rsid w:val="00887468"/>
    <w:rsid w:val="00896521"/>
    <w:rsid w:val="008C0B3A"/>
    <w:rsid w:val="008D3CF2"/>
    <w:rsid w:val="00936798"/>
    <w:rsid w:val="00937CF5"/>
    <w:rsid w:val="00EC0CFC"/>
    <w:rsid w:val="00EF226C"/>
    <w:rsid w:val="00F05FCA"/>
    <w:rsid w:val="00FB66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373</Words>
  <Characters>2015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14</cp:revision>
  <dcterms:created xsi:type="dcterms:W3CDTF">2014-09-20T08:50:00Z</dcterms:created>
  <dcterms:modified xsi:type="dcterms:W3CDTF">2015-01-09T05:05:00Z</dcterms:modified>
</cp:coreProperties>
</file>